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348" w14:textId="77777777" w:rsidR="006263D5" w:rsidRPr="006263D5" w:rsidRDefault="006263D5" w:rsidP="006263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156D69AF" w14:textId="03E995A5" w:rsidR="006263D5" w:rsidRPr="006263D5" w:rsidRDefault="006263D5" w:rsidP="00626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 xml:space="preserve">RESOLUCION DE </w:t>
      </w:r>
      <w:r w:rsidR="00C22C0B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t xml:space="preserve">BAJA DE </w:t>
      </w:r>
      <w:r w:rsidR="00EC7379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t xml:space="preserve">BIENES </w:t>
      </w:r>
      <w:r w:rsidR="00C22C0B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t>INMUEBLES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 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SERVICIO ECUATORIANO DE CAPACITACIÓN PROFESIONAL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–SECAP-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ABG. CARLOS VINICIO SALAZAR SIERRA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COORDINADOR GENERAL ADMINISTRATIVO FINANCIERO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 </w:t>
      </w: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br/>
        <w:t>CONSIDERANDO:</w:t>
      </w:r>
    </w:p>
    <w:p w14:paraId="217C20F6" w14:textId="77777777" w:rsidR="006263D5" w:rsidRDefault="006263D5" w:rsidP="00CC767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 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  <w:t>Que, la Constitución de la República del Ecuador,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en su artículo 225</w:t>
      </w:r>
      <w:r w:rsidR="006A4B83"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 w:rsidR="00D0746E">
        <w:rPr>
          <w:rFonts w:ascii="Times New Roman" w:eastAsia="Times New Roman" w:hAnsi="Times New Roman"/>
          <w:sz w:val="24"/>
          <w:szCs w:val="24"/>
          <w:lang w:eastAsia="es-EC"/>
        </w:rPr>
        <w:t xml:space="preserve"> establece</w:t>
      </w:r>
      <w:r w:rsidR="006A4B83">
        <w:rPr>
          <w:rFonts w:ascii="Times New Roman" w:eastAsia="Times New Roman" w:hAnsi="Times New Roman"/>
          <w:sz w:val="24"/>
          <w:szCs w:val="24"/>
          <w:lang w:eastAsia="es-EC"/>
        </w:rPr>
        <w:t>;</w:t>
      </w:r>
      <w:r w:rsidR="002E7C9B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="006A6312">
        <w:rPr>
          <w:rFonts w:ascii="Times New Roman" w:eastAsia="Times New Roman" w:hAnsi="Times New Roman"/>
          <w:sz w:val="24"/>
          <w:szCs w:val="24"/>
          <w:lang w:eastAsia="es-EC"/>
        </w:rPr>
        <w:t>“</w:t>
      </w:r>
      <w:r w:rsidR="00087569" w:rsidRPr="006A4B83">
        <w:rPr>
          <w:rFonts w:ascii="Times New Roman" w:eastAsia="Times New Roman" w:hAnsi="Times New Roman"/>
          <w:i/>
          <w:sz w:val="24"/>
          <w:szCs w:val="24"/>
          <w:lang w:eastAsia="es-EC"/>
        </w:rPr>
        <w:t>E</w:t>
      </w:r>
      <w:r w:rsidR="006A4B83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l sector público 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comprende: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1. Los organismos y dependencias de las funciones Ejecutiva, Legislativa, Judicial, Electoral y de Transparencia y Control Social.</w:t>
      </w:r>
      <w:r w:rsidR="007B4A45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2. Las entidades que integran el régimen autónomo descentralizado.</w:t>
      </w:r>
      <w:r w:rsidR="007B4A45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3. Los organismos y entidades creados por la Constitución o la ley para el ejercicio de la potestad estatal, para la prestación de servicios públicos o para desarrollar actividades económicas asumidas</w:t>
      </w:r>
      <w:r w:rsidR="00CC7679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por el Estado.</w:t>
      </w:r>
      <w:r w:rsidR="007B4A45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4. Las personas jurídicas creadas por acto normativo de los gobiernos autónomos descentralizados para la prestación de servicios públicos</w:t>
      </w:r>
      <w:r w:rsidR="006A6312">
        <w:rPr>
          <w:rFonts w:ascii="Times New Roman" w:eastAsia="Times New Roman" w:hAnsi="Times New Roman"/>
          <w:i/>
          <w:sz w:val="24"/>
          <w:szCs w:val="24"/>
          <w:lang w:eastAsia="es-EC"/>
        </w:rPr>
        <w:t>”;</w:t>
      </w:r>
    </w:p>
    <w:p w14:paraId="320954A9" w14:textId="77777777" w:rsidR="002E7C9B" w:rsidRDefault="002E7C9B" w:rsidP="002E7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2B01A253" w14:textId="77777777" w:rsidR="00CC7679" w:rsidRDefault="006263D5" w:rsidP="00DB430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Que, el artículo 226 de la C</w:t>
      </w:r>
      <w:r w:rsidR="002E7C9B">
        <w:rPr>
          <w:rFonts w:ascii="Times New Roman" w:eastAsia="Times New Roman" w:hAnsi="Times New Roman"/>
          <w:sz w:val="24"/>
          <w:szCs w:val="24"/>
          <w:lang w:eastAsia="es-EC"/>
        </w:rPr>
        <w:t>arta Magna</w:t>
      </w:r>
      <w:r w:rsidR="006A6312"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 w:rsidR="002E7C9B">
        <w:rPr>
          <w:rFonts w:ascii="Times New Roman" w:eastAsia="Times New Roman" w:hAnsi="Times New Roman"/>
          <w:sz w:val="24"/>
          <w:szCs w:val="24"/>
          <w:lang w:eastAsia="es-EC"/>
        </w:rPr>
        <w:t xml:space="preserve"> preceptúa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: "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Las instituciones del Estado, sus organismos, dependencias, las servidoras o servidores públicos y las personas que actúen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Constitución";</w:t>
      </w:r>
    </w:p>
    <w:p w14:paraId="78BD1634" w14:textId="77777777" w:rsidR="00CC7679" w:rsidRDefault="006263D5" w:rsidP="00DB430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  <w:t xml:space="preserve">Que, el artículo 227 de la </w:t>
      </w:r>
      <w:r w:rsidR="002E7C9B">
        <w:rPr>
          <w:rFonts w:ascii="Times New Roman" w:eastAsia="Times New Roman" w:hAnsi="Times New Roman"/>
          <w:sz w:val="24"/>
          <w:szCs w:val="24"/>
          <w:lang w:eastAsia="es-EC"/>
        </w:rPr>
        <w:t>Norma Suprema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, prescribe: 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"La administración pública constituye un servicio a la colectividad que se rige por los principios de eficacia, eficiencia, calidad, jerarquía, desconcentración, descentralización, coordinación, participación, planificación, transparencia y evaluación";</w:t>
      </w:r>
    </w:p>
    <w:p w14:paraId="0909B0BF" w14:textId="77777777" w:rsidR="00CC7679" w:rsidRDefault="006263D5" w:rsidP="00CC76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</w:r>
      <w:r w:rsidR="00CC7679">
        <w:rPr>
          <w:rFonts w:ascii="Times New Roman" w:eastAsia="Times New Roman" w:hAnsi="Times New Roman"/>
          <w:sz w:val="24"/>
          <w:szCs w:val="24"/>
          <w:lang w:eastAsia="es-EC"/>
        </w:rPr>
        <w:t>Q</w:t>
      </w:r>
      <w:r w:rsidR="00CC7679"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ue, el artículo 1 de la Ley del Nacional del Sistema de Contratación Pública, </w:t>
      </w:r>
      <w:r w:rsidR="00087569">
        <w:rPr>
          <w:rFonts w:ascii="Times New Roman" w:eastAsia="Times New Roman" w:hAnsi="Times New Roman"/>
          <w:sz w:val="24"/>
          <w:szCs w:val="24"/>
          <w:lang w:eastAsia="es-EC"/>
        </w:rPr>
        <w:t>expresa</w:t>
      </w:r>
      <w:r w:rsidR="00C55327">
        <w:rPr>
          <w:rFonts w:ascii="Times New Roman" w:eastAsia="Times New Roman" w:hAnsi="Times New Roman"/>
          <w:sz w:val="24"/>
          <w:szCs w:val="24"/>
          <w:lang w:eastAsia="es-EC"/>
        </w:rPr>
        <w:t>:</w:t>
      </w:r>
      <w:r w:rsidR="00CC7679"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="00C55327" w:rsidRPr="00C55327">
        <w:rPr>
          <w:rFonts w:ascii="Times New Roman" w:eastAsia="Times New Roman" w:hAnsi="Times New Roman"/>
          <w:i/>
          <w:sz w:val="24"/>
          <w:szCs w:val="24"/>
          <w:lang w:eastAsia="es-EC"/>
        </w:rPr>
        <w:t>“L</w:t>
      </w:r>
      <w:r w:rsidR="00CC7679"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as normas y principios del Sistema de Contratación Pública se aplican a instituciones de Derecho Públi</w:t>
      </w:r>
      <w:r w:rsidR="00CC7679" w:rsidRPr="00C55327">
        <w:rPr>
          <w:rFonts w:ascii="Times New Roman" w:eastAsia="Times New Roman" w:hAnsi="Times New Roman"/>
          <w:i/>
          <w:sz w:val="24"/>
          <w:szCs w:val="24"/>
          <w:lang w:eastAsia="es-EC"/>
        </w:rPr>
        <w:t>c</w:t>
      </w:r>
      <w:r w:rsidR="00CC7679" w:rsidRPr="006263D5">
        <w:rPr>
          <w:rFonts w:ascii="Times New Roman" w:eastAsia="Times New Roman" w:hAnsi="Times New Roman"/>
          <w:i/>
          <w:sz w:val="24"/>
          <w:szCs w:val="24"/>
          <w:lang w:eastAsia="es-EC"/>
        </w:rPr>
        <w:t>o y Privado, estas últimas siempre que tengan capitales o participación pública</w:t>
      </w:r>
      <w:r w:rsidR="00C55327">
        <w:rPr>
          <w:rFonts w:ascii="Times New Roman" w:eastAsia="Times New Roman" w:hAnsi="Times New Roman"/>
          <w:sz w:val="24"/>
          <w:szCs w:val="24"/>
          <w:lang w:eastAsia="es-EC"/>
        </w:rPr>
        <w:t>”</w:t>
      </w:r>
      <w:r w:rsidR="00CC7679" w:rsidRPr="006263D5">
        <w:rPr>
          <w:rFonts w:ascii="Times New Roman" w:eastAsia="Times New Roman" w:hAnsi="Times New Roman"/>
          <w:sz w:val="24"/>
          <w:szCs w:val="24"/>
          <w:lang w:eastAsia="es-EC"/>
        </w:rPr>
        <w:t>;</w:t>
      </w:r>
    </w:p>
    <w:p w14:paraId="53CE3992" w14:textId="77777777" w:rsidR="00CC7679" w:rsidRDefault="005E3E3E" w:rsidP="00CC76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br/>
        <w:t xml:space="preserve">Que el inciso octavo </w:t>
      </w:r>
      <w:r w:rsidR="00CC7679" w:rsidRPr="006263D5">
        <w:rPr>
          <w:rFonts w:ascii="Times New Roman" w:eastAsia="Times New Roman" w:hAnsi="Times New Roman"/>
          <w:sz w:val="24"/>
          <w:szCs w:val="24"/>
          <w:lang w:eastAsia="es-EC"/>
        </w:rPr>
        <w:t>del artículo 58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="00CC7679" w:rsidRPr="006263D5">
        <w:rPr>
          <w:rFonts w:ascii="Times New Roman" w:eastAsia="Times New Roman" w:hAnsi="Times New Roman"/>
          <w:sz w:val="24"/>
          <w:szCs w:val="24"/>
          <w:lang w:eastAsia="es-EC"/>
        </w:rPr>
        <w:t>de la Ley Orgánica del Sistema Nacional de Cont</w:t>
      </w:r>
      <w:r w:rsidR="00C622D0">
        <w:rPr>
          <w:rFonts w:ascii="Times New Roman" w:eastAsia="Times New Roman" w:hAnsi="Times New Roman"/>
          <w:sz w:val="24"/>
          <w:szCs w:val="24"/>
          <w:lang w:eastAsia="es-EC"/>
        </w:rPr>
        <w:t>ratación Pública dispone</w:t>
      </w:r>
      <w:r w:rsidR="00C55327">
        <w:rPr>
          <w:rFonts w:ascii="Times New Roman" w:eastAsia="Times New Roman" w:hAnsi="Times New Roman"/>
          <w:sz w:val="24"/>
          <w:szCs w:val="24"/>
          <w:lang w:eastAsia="es-EC"/>
        </w:rPr>
        <w:t>: "</w:t>
      </w:r>
      <w:r w:rsidR="00CC7679"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Para la transferencia de dominio de bienes inmuebles entre entidades del sector público, siempre y cuando llegaren a un acuerdo sobre aquella, no se requerirá de declaratoria de propiedad pública o interés social ni, en el caso de donación, de insinuación judicial. Se la podrá realizar por compraventa, permuta, donación, compensación de cuentas, traslado de partidas presupuestarias o de activos. En caso de que no haya acuerdo la entidad pública que expropia procederá conforme esta Ley. Para su trámite se estará a lo dispuesto en el Reglamento de esta Ley</w:t>
      </w:r>
      <w:r w:rsidR="009A4B23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(…)</w:t>
      </w:r>
      <w:r w:rsidR="00A27BC1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”;</w:t>
      </w:r>
    </w:p>
    <w:p w14:paraId="4CC34260" w14:textId="77777777" w:rsidR="00151217" w:rsidRDefault="00151217" w:rsidP="007F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298379FF" w14:textId="243CD4FA" w:rsidR="007F6558" w:rsidRPr="00E90BDF" w:rsidRDefault="007F6558" w:rsidP="007F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lastRenderedPageBreak/>
        <w:t xml:space="preserve">Que, el artículo 22 de la </w:t>
      </w:r>
      <w:r w:rsidRPr="007F6558">
        <w:rPr>
          <w:rFonts w:ascii="Times New Roman" w:eastAsia="Times New Roman" w:hAnsi="Times New Roman"/>
          <w:sz w:val="24"/>
          <w:szCs w:val="24"/>
          <w:lang w:eastAsia="es-EC"/>
        </w:rPr>
        <w:t>Ley Orgánica del Servicio Público, dispone</w:t>
      </w:r>
      <w:r w:rsidR="0099785F">
        <w:rPr>
          <w:rFonts w:ascii="Times New Roman" w:eastAsia="Times New Roman" w:hAnsi="Times New Roman"/>
          <w:sz w:val="24"/>
          <w:szCs w:val="24"/>
          <w:lang w:eastAsia="es-EC"/>
        </w:rPr>
        <w:t xml:space="preserve"> que</w:t>
      </w:r>
      <w:r w:rsidR="00B67408">
        <w:rPr>
          <w:rFonts w:ascii="Times New Roman" w:eastAsia="Times New Roman" w:hAnsi="Times New Roman"/>
          <w:sz w:val="24"/>
          <w:szCs w:val="24"/>
          <w:lang w:eastAsia="es-EC"/>
        </w:rPr>
        <w:t xml:space="preserve">: 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 xml:space="preserve">son deberes de las y los servidores públicos, entre otros, los siguientes: </w:t>
      </w:r>
      <w:r w:rsidR="009A4B23">
        <w:rPr>
          <w:rFonts w:ascii="Times New Roman" w:eastAsia="Times New Roman" w:hAnsi="Times New Roman"/>
          <w:sz w:val="24"/>
          <w:szCs w:val="24"/>
          <w:lang w:eastAsia="es-EC"/>
        </w:rPr>
        <w:t>“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>Respetar, cumplir y hacer cumplir la Constitución de la República, leyes, reglamentos y más disposiciones expedidas de acuerdo con la Ley; Cumplir personalmente con las obligaciones de su puesto, con solicitud, eficiencia, calidez, solidaridad y en función del bien colectivo, con la diligencia que emplean generalmente en la administración de sus propias actividades; y; Cumplir y respetar las órdenes legítimas de los superiores jerárquicos”;</w:t>
      </w:r>
    </w:p>
    <w:p w14:paraId="33EBEAF4" w14:textId="77777777" w:rsidR="007F6558" w:rsidRDefault="007F6558" w:rsidP="00DB43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7CA158C5" w14:textId="605B426D" w:rsidR="00736A85" w:rsidRPr="00E90BDF" w:rsidRDefault="00736A85" w:rsidP="0073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736A85">
        <w:rPr>
          <w:rFonts w:ascii="Times New Roman" w:eastAsia="Times New Roman" w:hAnsi="Times New Roman"/>
          <w:sz w:val="24"/>
          <w:szCs w:val="24"/>
          <w:lang w:eastAsia="es-EC"/>
        </w:rPr>
        <w:t>Que, el artículo 3 de la Ley Orgánica de la Contraloría General del Estado, establece</w:t>
      </w:r>
      <w:r w:rsidR="00E90BDF">
        <w:rPr>
          <w:rFonts w:ascii="Times New Roman" w:eastAsia="Times New Roman" w:hAnsi="Times New Roman"/>
          <w:sz w:val="24"/>
          <w:szCs w:val="24"/>
          <w:lang w:eastAsia="es-EC"/>
        </w:rPr>
        <w:t xml:space="preserve"> que: 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 xml:space="preserve">se entenderán como </w:t>
      </w:r>
      <w:r w:rsidR="00E90BDF" w:rsidRPr="00E90BDF">
        <w:rPr>
          <w:rFonts w:ascii="Times New Roman" w:eastAsia="Times New Roman" w:hAnsi="Times New Roman"/>
          <w:sz w:val="24"/>
          <w:szCs w:val="24"/>
          <w:lang w:eastAsia="es-EC"/>
        </w:rPr>
        <w:t>r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>ecurso</w:t>
      </w:r>
      <w:r w:rsidR="00E90BDF" w:rsidRPr="00E90BDF">
        <w:rPr>
          <w:rFonts w:ascii="Times New Roman" w:eastAsia="Times New Roman" w:hAnsi="Times New Roman"/>
          <w:sz w:val="24"/>
          <w:szCs w:val="24"/>
          <w:lang w:eastAsia="es-EC"/>
        </w:rPr>
        <w:t>s p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>úblicos</w:t>
      </w:r>
      <w:r w:rsidR="00E90BDF" w:rsidRPr="00E90BDF">
        <w:rPr>
          <w:rFonts w:ascii="Times New Roman" w:eastAsia="Times New Roman" w:hAnsi="Times New Roman"/>
          <w:sz w:val="24"/>
          <w:szCs w:val="24"/>
          <w:lang w:eastAsia="es-EC"/>
        </w:rPr>
        <w:t xml:space="preserve">, </w:t>
      </w:r>
      <w:r w:rsidR="002D5092">
        <w:rPr>
          <w:rFonts w:ascii="Times New Roman" w:eastAsia="Times New Roman" w:hAnsi="Times New Roman"/>
          <w:sz w:val="24"/>
          <w:szCs w:val="24"/>
          <w:lang w:eastAsia="es-EC"/>
        </w:rPr>
        <w:t>“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 xml:space="preserve">todos los bienes, fondos, títulos, acciones, participaciones, activos, rentas, utilidades, excedentes, subvenciones y todos los derechos que pertenecen al Estado y a sus instituciones, sea cual fuere la fuente de la que procedan inclusive los provenientes de préstamos, </w:t>
      </w:r>
      <w:r w:rsidR="00151217">
        <w:rPr>
          <w:rFonts w:ascii="Times New Roman" w:eastAsia="Times New Roman" w:hAnsi="Times New Roman"/>
          <w:sz w:val="24"/>
          <w:szCs w:val="24"/>
          <w:lang w:eastAsia="es-EC"/>
        </w:rPr>
        <w:t xml:space="preserve">donación </w:t>
      </w:r>
      <w:r w:rsidRPr="00E90BDF">
        <w:rPr>
          <w:rFonts w:ascii="Times New Roman" w:eastAsia="Times New Roman" w:hAnsi="Times New Roman"/>
          <w:sz w:val="24"/>
          <w:szCs w:val="24"/>
          <w:lang w:eastAsia="es-EC"/>
        </w:rPr>
        <w:t>es y entregas que, a cualquier otro título, realicen a favor del Estado o de sus instituciones, personas naturales o jurídicas u organismos nacionales o internacionales”;</w:t>
      </w:r>
    </w:p>
    <w:p w14:paraId="54D77E5E" w14:textId="77777777" w:rsidR="00736A85" w:rsidRPr="00736A85" w:rsidRDefault="00736A85" w:rsidP="00736A8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</w:p>
    <w:p w14:paraId="6A17BF47" w14:textId="77777777" w:rsidR="007F6558" w:rsidRPr="007F6558" w:rsidRDefault="007F6558" w:rsidP="007F65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el artículo </w:t>
      </w:r>
      <w:r w:rsidR="00043602">
        <w:rPr>
          <w:rFonts w:ascii="Times New Roman" w:eastAsia="Times New Roman" w:hAnsi="Times New Roman"/>
          <w:sz w:val="24"/>
          <w:szCs w:val="24"/>
          <w:lang w:eastAsia="es-EC"/>
        </w:rPr>
        <w:t xml:space="preserve">40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de l</w:t>
      </w:r>
      <w:r w:rsidRPr="007F6558">
        <w:rPr>
          <w:rFonts w:ascii="Times New Roman" w:eastAsia="Times New Roman" w:hAnsi="Times New Roman"/>
          <w:sz w:val="24"/>
          <w:szCs w:val="24"/>
          <w:lang w:eastAsia="es-EC"/>
        </w:rPr>
        <w:t xml:space="preserve">a Ley Orgánica de la Contraloría General del Estado,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expresa que: “</w:t>
      </w:r>
      <w:r w:rsidRPr="007F6558">
        <w:rPr>
          <w:rFonts w:ascii="Times New Roman" w:eastAsia="Times New Roman" w:hAnsi="Times New Roman"/>
          <w:i/>
          <w:sz w:val="24"/>
          <w:szCs w:val="24"/>
          <w:lang w:eastAsia="es-EC"/>
        </w:rPr>
        <w:t>los funcionarios, y demás servidores, de las Instituciones del Estado, actuarán con la diligencia y empeño que emplean generalmente en la administración de sus propios negocios y actividades, caso contrario, responderán, por sus acciones u omisiones, de conformidad con lo previsto en esta Ley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>”;</w:t>
      </w:r>
    </w:p>
    <w:p w14:paraId="2C11EC8C" w14:textId="77777777" w:rsidR="00B67408" w:rsidRDefault="00B67408" w:rsidP="00DB43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46AC83F6" w14:textId="77777777" w:rsidR="00367E2E" w:rsidRDefault="00367E2E" w:rsidP="00DB430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</w:t>
      </w:r>
      <w:r w:rsidR="00DB430B">
        <w:rPr>
          <w:rFonts w:ascii="Times New Roman" w:eastAsia="Times New Roman" w:hAnsi="Times New Roman"/>
          <w:sz w:val="24"/>
          <w:szCs w:val="24"/>
          <w:lang w:eastAsia="es-EC"/>
        </w:rPr>
        <w:t>el artículo 44 d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el Código </w:t>
      </w:r>
      <w:r w:rsidR="00543167">
        <w:rPr>
          <w:rFonts w:ascii="Times New Roman" w:eastAsia="Times New Roman" w:hAnsi="Times New Roman"/>
          <w:sz w:val="24"/>
          <w:szCs w:val="24"/>
          <w:lang w:eastAsia="es-EC"/>
        </w:rPr>
        <w:t>Orgánico Administrativo,</w:t>
      </w:r>
      <w:r w:rsidR="00DB430B">
        <w:rPr>
          <w:rFonts w:ascii="Times New Roman" w:eastAsia="Times New Roman" w:hAnsi="Times New Roman"/>
          <w:sz w:val="24"/>
          <w:szCs w:val="24"/>
          <w:lang w:eastAsia="es-EC"/>
        </w:rPr>
        <w:t xml:space="preserve"> señala: </w:t>
      </w:r>
      <w:r w:rsidR="00AC2219">
        <w:rPr>
          <w:sz w:val="23"/>
          <w:szCs w:val="23"/>
        </w:rPr>
        <w:t>“</w:t>
      </w:r>
      <w:r w:rsidR="00DB430B" w:rsidRPr="00DB430B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La administración pública comprende las entidades del sector público previstas</w:t>
      </w:r>
      <w:r w:rsidR="006007F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DB430B" w:rsidRPr="00DB430B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en la Constitución de la República</w:t>
      </w:r>
      <w:r w:rsidR="00AC2219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”;</w:t>
      </w:r>
    </w:p>
    <w:p w14:paraId="634F4AAF" w14:textId="77777777" w:rsidR="00367E2E" w:rsidRDefault="00367E2E" w:rsidP="002E7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73F0FF00" w14:textId="77777777" w:rsidR="00367E2E" w:rsidRDefault="00F31503" w:rsidP="00F3150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>Que, el a</w:t>
      </w:r>
      <w:r w:rsidRPr="00F31503">
        <w:rPr>
          <w:rFonts w:ascii="Times New Roman" w:eastAsia="Times New Roman" w:hAnsi="Times New Roman"/>
          <w:sz w:val="24"/>
          <w:szCs w:val="24"/>
          <w:lang w:eastAsia="es-EC"/>
        </w:rPr>
        <w:t>rtículo 46</w:t>
      </w:r>
      <w:r w:rsidR="00CF083C">
        <w:rPr>
          <w:rFonts w:ascii="Times New Roman" w:eastAsia="Times New Roman" w:hAnsi="Times New Roman"/>
          <w:sz w:val="24"/>
          <w:szCs w:val="24"/>
          <w:lang w:eastAsia="es-EC"/>
        </w:rPr>
        <w:t xml:space="preserve"> d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el Código Orgánico Administrativo, </w:t>
      </w:r>
      <w:r w:rsidR="006007F8">
        <w:rPr>
          <w:rFonts w:ascii="Times New Roman" w:eastAsia="Times New Roman" w:hAnsi="Times New Roman"/>
          <w:sz w:val="24"/>
          <w:szCs w:val="24"/>
          <w:lang w:eastAsia="es-EC"/>
        </w:rPr>
        <w:t>manifiesta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: </w:t>
      </w:r>
      <w:r w:rsidRPr="00F31503">
        <w:rPr>
          <w:rFonts w:ascii="Times New Roman" w:eastAsia="Times New Roman" w:hAnsi="Times New Roman"/>
          <w:i/>
          <w:sz w:val="24"/>
          <w:szCs w:val="24"/>
          <w:lang w:eastAsia="es-EC"/>
        </w:rPr>
        <w:t>El Estado ecuatoriano</w:t>
      </w:r>
      <w:r w:rsidR="006007F8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F31503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tiene personalidad jurídica única en sus relaciones de derecho internacional, con independencia de su organización interna. Su representación y delegación se rigen por las disposiciones de la Constitución y las leyes específicas en la materia. La administración pública central, las personas jurídicas de derecho público creados por la Constitución y la ley y las empresas públicas, tienen personalidad jurídica en sus actos, contratos y demás relaciones sujetas al derecho </w:t>
      </w:r>
      <w:r w:rsidR="00CC7679">
        <w:rPr>
          <w:rFonts w:ascii="Times New Roman" w:eastAsia="Times New Roman" w:hAnsi="Times New Roman"/>
          <w:i/>
          <w:sz w:val="24"/>
          <w:szCs w:val="24"/>
          <w:lang w:eastAsia="es-EC"/>
        </w:rPr>
        <w:t>interno;</w:t>
      </w:r>
    </w:p>
    <w:p w14:paraId="7F73A49F" w14:textId="77777777" w:rsidR="00FA3E52" w:rsidRDefault="00FA3E52" w:rsidP="00F31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127F7142" w14:textId="77777777" w:rsidR="006007F8" w:rsidRPr="006007F8" w:rsidRDefault="006007F8" w:rsidP="006007F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>Que, el artículo 47 del Código Orgánico Administrativo, enuncia: “</w:t>
      </w:r>
      <w:r w:rsidRPr="006007F8">
        <w:rPr>
          <w:rFonts w:ascii="Times New Roman" w:eastAsia="Times New Roman" w:hAnsi="Times New Roman"/>
          <w:i/>
          <w:sz w:val="24"/>
          <w:szCs w:val="24"/>
          <w:lang w:eastAsia="es-EC"/>
        </w:rPr>
        <w:t>La máxima autoridad administrativa de la correspondiente entidad pública ejerce su representación</w:t>
      </w:r>
      <w:r w:rsidR="00E05595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007F8">
        <w:rPr>
          <w:rFonts w:ascii="Times New Roman" w:eastAsia="Times New Roman" w:hAnsi="Times New Roman"/>
          <w:i/>
          <w:sz w:val="24"/>
          <w:szCs w:val="24"/>
          <w:lang w:eastAsia="es-EC"/>
        </w:rPr>
        <w:t>para intervenir en todos los actos, contratos y relaciones jurídicas sujetas a su competencia. Esta autoridad no requiere delegación o autorización alguna de un órgano o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Pr="006007F8">
        <w:rPr>
          <w:rFonts w:ascii="Times New Roman" w:eastAsia="Times New Roman" w:hAnsi="Times New Roman"/>
          <w:i/>
          <w:sz w:val="24"/>
          <w:szCs w:val="24"/>
          <w:lang w:eastAsia="es-EC"/>
        </w:rPr>
        <w:t>entidad superior, salvo en los casos expresamente previstos en la ley.</w:t>
      </w:r>
    </w:p>
    <w:p w14:paraId="3E28B071" w14:textId="77777777" w:rsidR="006007F8" w:rsidRDefault="006007F8" w:rsidP="00F315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3A05B31F" w14:textId="77777777" w:rsidR="00C1176B" w:rsidRPr="001D7AB0" w:rsidRDefault="00C1176B" w:rsidP="001D7AB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>Que, el artículo 69 del Código Orgánico Adminis</w:t>
      </w:r>
      <w:r w:rsidR="001D7AB0">
        <w:rPr>
          <w:rFonts w:ascii="Times New Roman" w:eastAsia="Times New Roman" w:hAnsi="Times New Roman"/>
          <w:sz w:val="24"/>
          <w:szCs w:val="24"/>
          <w:lang w:eastAsia="es-EC"/>
        </w:rPr>
        <w:t>trativo, describe: “</w:t>
      </w:r>
      <w:r w:rsidR="001D7AB0" w:rsidRPr="001D7AB0">
        <w:rPr>
          <w:rFonts w:ascii="Times New Roman" w:eastAsia="Times New Roman" w:hAnsi="Times New Roman"/>
          <w:i/>
          <w:sz w:val="24"/>
          <w:szCs w:val="24"/>
          <w:lang w:eastAsia="es-EC"/>
        </w:rPr>
        <w:t>Los órganos administrativos pueden delegar el ejercicio de sus competencias, incluida la de gestión, en: 1. Otros órganos o entidades de la misma administración pública, jerárquicamente dependientes. 2. Otros órganos o entidades de otras administraciones. 3. Esta delegación exige coordinación previa de los órganos o entidades afectados, su instrumentación y el</w:t>
      </w:r>
      <w:r w:rsidR="001D7AB0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="001D7AB0" w:rsidRPr="001D7AB0">
        <w:rPr>
          <w:rFonts w:ascii="Times New Roman" w:eastAsia="Times New Roman" w:hAnsi="Times New Roman"/>
          <w:i/>
          <w:sz w:val="24"/>
          <w:szCs w:val="24"/>
          <w:lang w:eastAsia="es-EC"/>
        </w:rPr>
        <w:t>cumplimiento de las demás exigencias del ordenamiento jurídico en caso de que existan.</w:t>
      </w:r>
      <w:r w:rsidR="00DD3C6B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="001D7AB0" w:rsidRPr="001D7AB0">
        <w:rPr>
          <w:rFonts w:ascii="Times New Roman" w:eastAsia="Times New Roman" w:hAnsi="Times New Roman"/>
          <w:i/>
          <w:sz w:val="24"/>
          <w:szCs w:val="24"/>
          <w:lang w:eastAsia="es-EC"/>
        </w:rPr>
        <w:t>4. Los titulares de otros órganos dependientes para la firma de sus actos administrativos.</w:t>
      </w:r>
      <w:r w:rsidR="00DD3C6B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="001D7AB0" w:rsidRPr="001D7AB0">
        <w:rPr>
          <w:rFonts w:ascii="Times New Roman" w:eastAsia="Times New Roman" w:hAnsi="Times New Roman"/>
          <w:i/>
          <w:sz w:val="24"/>
          <w:szCs w:val="24"/>
          <w:lang w:eastAsia="es-EC"/>
        </w:rPr>
        <w:t>5. Sujetos de derecho privado, conforme con la ley de la materia.</w:t>
      </w:r>
      <w:r w:rsidR="00DD3C6B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 </w:t>
      </w:r>
      <w:r w:rsidR="001D7AB0" w:rsidRPr="001D7AB0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La delegación de gestión no supone cesión de la titularidad </w:t>
      </w:r>
      <w:r w:rsidR="001D7AB0">
        <w:rPr>
          <w:rFonts w:ascii="Times New Roman" w:eastAsia="Times New Roman" w:hAnsi="Times New Roman"/>
          <w:i/>
          <w:sz w:val="24"/>
          <w:szCs w:val="24"/>
          <w:lang w:eastAsia="es-EC"/>
        </w:rPr>
        <w:t>de la competencia”;</w:t>
      </w:r>
    </w:p>
    <w:p w14:paraId="07B57E76" w14:textId="77777777" w:rsidR="00C1176B" w:rsidRPr="001D7AB0" w:rsidRDefault="00C1176B" w:rsidP="00F3150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</w:p>
    <w:p w14:paraId="58C1324F" w14:textId="77777777" w:rsidR="002D5092" w:rsidRDefault="00FB1C02" w:rsidP="00FB1C0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lastRenderedPageBreak/>
        <w:t>Que, el artículo 1 de la Ley de Creación y Funcionamiento del SECAP, establece: "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El Servicio Ecuatoriano de Capacitación Profesional- SECAP, es una persona jurídica de derecho público, con autonomía administrativa y financiera, con patrimonio y fondos propios, especializada y técnica, adscrita al Ministerio de Trabajo..."; </w:t>
      </w:r>
    </w:p>
    <w:p w14:paraId="06B3D872" w14:textId="3780E294" w:rsidR="00FB1C02" w:rsidRDefault="00FB1C02" w:rsidP="00FB1C0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  <w:t>Que,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el artículo 9 de la Ley del 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Servicio Ecuatoriano de Capacitación Profesional -SECAP-, indica: "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El Director</w:t>
      </w:r>
      <w:r w:rsidR="006C77C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Ejecutivo es el represen/ante legal del Servicio Ecuatoriano de Capacitación Profesional SECAP, y es el responsable del desenvolvimiento técnico administrativo y financiero de la entidad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. 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Su designación estará a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cargo del Ministro del Trabajo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”;</w:t>
      </w:r>
    </w:p>
    <w:p w14:paraId="3C83356D" w14:textId="77777777" w:rsidR="00021D98" w:rsidRDefault="00021D98" w:rsidP="00FB1C0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10A5704A" w14:textId="77777777" w:rsidR="007B4A45" w:rsidRDefault="006263D5" w:rsidP="00F578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Que, el artículo 61 del Reglamento General de la Ley Orgánica del Sistema Nacional de Contratación Pública dispone que: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E0559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“p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ara la transferencia de dominio de bienes inmuebles entre entidades del sector público que lleguen a un acuerdo para el efecto, se requerirá resolución motivada de las máximas autoridades";</w:t>
      </w:r>
    </w:p>
    <w:p w14:paraId="35D18A9E" w14:textId="77777777" w:rsidR="007B4A45" w:rsidRDefault="007B4A45" w:rsidP="00F578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09AE4E96" w14:textId="2CACDD3F" w:rsidR="00FA1C52" w:rsidRPr="00FA1C52" w:rsidRDefault="00FA1C52" w:rsidP="00FA1C5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en el artículo </w:t>
      </w:r>
      <w:r w:rsidRPr="00FA1C52">
        <w:rPr>
          <w:rFonts w:ascii="Times New Roman" w:eastAsia="Times New Roman" w:hAnsi="Times New Roman"/>
          <w:sz w:val="24"/>
          <w:szCs w:val="24"/>
          <w:lang w:eastAsia="es-EC"/>
        </w:rPr>
        <w:t>29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del Reglamento General Sustitutivo para la Administración, Utilización, Manejo y Control de los Bienes e Inventarios del Sector </w:t>
      </w:r>
      <w:r w:rsidR="00151217">
        <w:rPr>
          <w:rFonts w:ascii="Times New Roman" w:eastAsia="Times New Roman" w:hAnsi="Times New Roman"/>
          <w:sz w:val="24"/>
          <w:szCs w:val="24"/>
          <w:lang w:eastAsia="es-EC"/>
        </w:rPr>
        <w:t>Público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, define a los inventarios</w:t>
      </w:r>
      <w:r w:rsidRPr="00FA1C5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: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145F6B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“</w:t>
      </w:r>
      <w:r w:rsidRPr="00FA1C5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son activos identificados como materiales, o suministros consumibles durante el proceso de producción, en la prestación de servicios o conservados para la venta o distribución, en el curso ordinario de las operaciones</w:t>
      </w:r>
      <w:r w:rsidR="00145F6B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”.</w:t>
      </w:r>
    </w:p>
    <w:p w14:paraId="2CF2DD6E" w14:textId="2D744D17" w:rsidR="00FA1C52" w:rsidRDefault="00FA1C52" w:rsidP="00F578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42BFB108" w14:textId="7C2582A0" w:rsidR="00CC7679" w:rsidRDefault="007B4A45" w:rsidP="00F5780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Que,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74245D">
        <w:rPr>
          <w:rFonts w:ascii="Times New Roman" w:eastAsia="Times New Roman" w:hAnsi="Times New Roman"/>
          <w:iCs/>
          <w:sz w:val="24"/>
          <w:szCs w:val="24"/>
          <w:lang w:eastAsia="es-EC"/>
        </w:rPr>
        <w:t>el a</w:t>
      </w:r>
      <w:r w:rsidR="00FB1C02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rtículo 35 del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Reglamento </w:t>
      </w:r>
      <w:r w:rsidR="0074245D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General Sustitutivo para la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>Administración</w:t>
      </w:r>
      <w:r w:rsidR="0074245D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, Utilización, Manejo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y Control de </w:t>
      </w:r>
      <w:r w:rsidR="0074245D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los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Bienes </w:t>
      </w:r>
      <w:r w:rsidR="0074245D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e Inventarios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>del Sector Público</w:t>
      </w:r>
      <w:r w:rsidR="00FB1C02">
        <w:rPr>
          <w:rFonts w:ascii="Times New Roman" w:eastAsia="Times New Roman" w:hAnsi="Times New Roman"/>
          <w:iCs/>
          <w:sz w:val="24"/>
          <w:szCs w:val="24"/>
          <w:lang w:eastAsia="es-EC"/>
        </w:rPr>
        <w:t>,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 </w:t>
      </w:r>
      <w:r w:rsidR="00FB1C02">
        <w:rPr>
          <w:rFonts w:ascii="Times New Roman" w:eastAsia="Times New Roman" w:hAnsi="Times New Roman"/>
          <w:iCs/>
          <w:sz w:val="24"/>
          <w:szCs w:val="24"/>
          <w:lang w:eastAsia="es-EC"/>
        </w:rPr>
        <w:t>preceptúa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>: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“Registros administrativos y contables. - Los ingresos y egresos de bienes o inventarios dispondrán de registros administrativos y contables, conforme lo establecen las disposiciones emitidas por el órgano rector de las finanzas públicas, las Normas de Control Interno y el presente Reglamento expedidos por la Contraloría General del Estado”;</w:t>
      </w:r>
    </w:p>
    <w:p w14:paraId="3EBBE285" w14:textId="77777777" w:rsidR="00A92E3A" w:rsidRDefault="00A92E3A" w:rsidP="00A92E3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5715AB1D" w14:textId="4264A9AA" w:rsidR="007B4A45" w:rsidRPr="00151217" w:rsidRDefault="00151217" w:rsidP="007B4A4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Que,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el artículo 148 del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>Reglamento Administración</w:t>
      </w:r>
      <w:r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y Control de </w:t>
      </w:r>
      <w:r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los 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>Bienes del Sector Público</w:t>
      </w:r>
      <w:r>
        <w:rPr>
          <w:rFonts w:ascii="Times New Roman" w:eastAsia="Times New Roman" w:hAnsi="Times New Roman"/>
          <w:iCs/>
          <w:sz w:val="24"/>
          <w:szCs w:val="24"/>
          <w:lang w:eastAsia="es-EC"/>
        </w:rPr>
        <w:t>,</w:t>
      </w:r>
      <w:r w:rsidRPr="00CC7679"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es-EC"/>
        </w:rPr>
        <w:t xml:space="preserve">expresa: “ </w:t>
      </w:r>
      <w:r w:rsidRPr="00151217">
        <w:rPr>
          <w:rFonts w:ascii="Times New Roman" w:eastAsia="Times New Roman" w:hAnsi="Times New Roman"/>
          <w:i/>
          <w:sz w:val="24"/>
          <w:szCs w:val="24"/>
          <w:lang w:eastAsia="es-EC"/>
        </w:rPr>
        <w:t>Procedencia de la baja.- Los bienes desaparecidos por robo, hurto o abigeato se darán de baja siguiendo el procedimiento establecido en este Reglamento y contando con la respectiva resolución del Juez de Garantías Penales que declare el archivo de la investigación previa por las causas señaladas en los números 1 y 3 del artículo 586 del Código Orgánico Integral Penal o el auto de sobreseimiento dictado por los supuestos previstos en los numerales 1 y 2 del artículo 605 ibídem o la sentencia judicial ejecutoriada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>(…)”</w:t>
      </w:r>
    </w:p>
    <w:p w14:paraId="4EE93073" w14:textId="77777777" w:rsidR="00151217" w:rsidRPr="00151217" w:rsidRDefault="00151217" w:rsidP="004874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</w:p>
    <w:p w14:paraId="4E6A22AB" w14:textId="7E3558A5" w:rsidR="00487441" w:rsidRPr="00487441" w:rsidRDefault="00487441" w:rsidP="0048744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la Norma de Control Interno de Contraloría General del Estado </w:t>
      </w:r>
      <w:r w:rsidRPr="00487441">
        <w:rPr>
          <w:rFonts w:ascii="Times New Roman" w:eastAsia="Times New Roman" w:hAnsi="Times New Roman"/>
          <w:sz w:val="24"/>
          <w:szCs w:val="24"/>
          <w:lang w:eastAsia="es-EC"/>
        </w:rPr>
        <w:t>401-02</w:t>
      </w:r>
      <w:r w:rsidR="00C021B6"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dispone: “</w:t>
      </w:r>
      <w:r w:rsidRPr="00487441">
        <w:rPr>
          <w:rFonts w:ascii="Times New Roman" w:eastAsia="Times New Roman" w:hAnsi="Times New Roman"/>
          <w:i/>
          <w:sz w:val="24"/>
          <w:szCs w:val="24"/>
          <w:lang w:eastAsia="es-EC"/>
        </w:rPr>
        <w:t>La máxima autoridad, establecerá por escrito o por medio de sistemas electrónicos, procedimientos de autorización que aseguren la ejecución de los procesos y el control de las operaciones administrativas y financieras, a fin de garantizar que sólo se efectúen operaciones y actos administrativos válidos. La conformidad con los términos y condiciones de una autorización implica que las tareas que desarrollarán las servidoras y servidores, que han sido asignadas dentro de sus respectivas competencias, se adecuarán a las disposiciones emanadas por la dirección, en concordancia con el marco legal. Las servidoras y servidores que reciban las autorizaciones, serán conscientes de la responsabilidad que asumen en su tarea y no efectuarán actividades que no les corresponda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>”;</w:t>
      </w:r>
    </w:p>
    <w:p w14:paraId="23543436" w14:textId="77777777" w:rsidR="00BC6B1E" w:rsidRPr="00B36D14" w:rsidRDefault="00BC6B1E" w:rsidP="00BC6B1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61CDE939" w14:textId="77777777" w:rsidR="004501E6" w:rsidRPr="00B846BC" w:rsidRDefault="004501E6" w:rsidP="004501E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la Norma de Control Interno de la Contraloría General del Estado 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>406-01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indica: </w:t>
      </w:r>
      <w:r w:rsidRPr="00B846BC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“Toda entidad u organismo del sector público, cuando el caso lo amerite, estructurará una unidad encargada de la administración de bienes. La máxima autoridad a través de la Unidad de Administración de Bienes, instrumentará los procesos a seguir en la planificación, provisión, custodia, utilización, traspaso, préstamo, enajenación, baja, conservación y mantenimiento, medidas de protección y seguridad, así como el control de los diferentes bienes, muebles e inmuebles, propiedad de cada entidad u organismo del sector público y de implantar un adecuado sistema de control interno 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>para su correcta administración”;</w:t>
      </w:r>
    </w:p>
    <w:p w14:paraId="337924BF" w14:textId="77777777" w:rsidR="004501E6" w:rsidRDefault="004501E6" w:rsidP="004501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49838E0D" w14:textId="77777777" w:rsidR="004501E6" w:rsidRPr="00B846BC" w:rsidRDefault="004501E6" w:rsidP="004501E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la Norma de Control Interno de la Contraloría General del Estado 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>406-01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indica: </w:t>
      </w:r>
      <w:r w:rsidRPr="00B846BC">
        <w:rPr>
          <w:rFonts w:ascii="Times New Roman" w:eastAsia="Times New Roman" w:hAnsi="Times New Roman"/>
          <w:i/>
          <w:sz w:val="24"/>
          <w:szCs w:val="24"/>
          <w:lang w:eastAsia="es-EC"/>
        </w:rPr>
        <w:t xml:space="preserve">“Toda entidad u organismo del sector público, cuando el caso lo amerite, estructurará una unidad encargada de la administración de bienes. La máxima autoridad a través de la Unidad de Administración de Bienes, instrumentará los procesos a seguir en la planificación, provisión, custodia, utilización, traspaso, préstamo, enajenación, baja, conservación y mantenimiento, medidas de protección y seguridad, así como el control de los diferentes bienes, muebles e inmuebles, propiedad de cada entidad u organismo del sector público y de implantar un adecuado sistema de control interno </w:t>
      </w:r>
      <w:r>
        <w:rPr>
          <w:rFonts w:ascii="Times New Roman" w:eastAsia="Times New Roman" w:hAnsi="Times New Roman"/>
          <w:i/>
          <w:sz w:val="24"/>
          <w:szCs w:val="24"/>
          <w:lang w:eastAsia="es-EC"/>
        </w:rPr>
        <w:t>para su correcta administración”;</w:t>
      </w:r>
    </w:p>
    <w:p w14:paraId="4F29BFF6" w14:textId="0FB6321D" w:rsidR="004501E6" w:rsidRDefault="004501E6" w:rsidP="00BC6B1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</w:p>
    <w:p w14:paraId="5ED8DD46" w14:textId="77777777" w:rsidR="00920A75" w:rsidRPr="00151217" w:rsidRDefault="004501E6" w:rsidP="004501E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Que, la Norma de Control Interno de la Contraloría General del Estado 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>406-</w:t>
      </w:r>
      <w:r w:rsidR="00920A75">
        <w:rPr>
          <w:rFonts w:ascii="Times New Roman" w:eastAsia="Times New Roman" w:hAnsi="Times New Roman"/>
          <w:sz w:val="24"/>
          <w:szCs w:val="24"/>
          <w:lang w:eastAsia="es-EC"/>
        </w:rPr>
        <w:t>1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>1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,</w:t>
      </w:r>
      <w:r w:rsidRPr="00B846BC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indica: </w:t>
      </w:r>
      <w:r w:rsidRPr="00920A75">
        <w:rPr>
          <w:rFonts w:ascii="Times New Roman" w:eastAsia="Times New Roman" w:hAnsi="Times New Roman"/>
          <w:i/>
          <w:sz w:val="24"/>
          <w:szCs w:val="24"/>
          <w:lang w:eastAsia="es-EC"/>
        </w:rPr>
        <w:t>“</w:t>
      </w:r>
      <w:r w:rsidR="00920A75" w:rsidRPr="00151217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Para la baja de bienes que no estén contabilizados como activos, por no reunir las</w:t>
      </w:r>
      <w:r w:rsidR="00920A75" w:rsidRPr="00151217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br/>
        <w:t>condiciones para considerarse como tales, bastará que se cuente con la autorización</w:t>
      </w:r>
      <w:r w:rsidR="00920A75" w:rsidRPr="00151217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br/>
        <w:t>del responsable de la unidad de administración financiera</w:t>
      </w:r>
    </w:p>
    <w:p w14:paraId="002ED6F8" w14:textId="77777777" w:rsidR="00BC6B1E" w:rsidRPr="00920A75" w:rsidRDefault="00BC6B1E" w:rsidP="00B846B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C"/>
        </w:rPr>
      </w:pPr>
    </w:p>
    <w:p w14:paraId="1D625C80" w14:textId="3EDBB636" w:rsidR="00301D94" w:rsidRDefault="006263D5" w:rsidP="001458E5">
      <w:pPr>
        <w:pStyle w:val="Default"/>
        <w:jc w:val="both"/>
        <w:rPr>
          <w:rFonts w:eastAsia="Times New Roman"/>
          <w:i/>
          <w:iCs/>
        </w:rPr>
      </w:pPr>
      <w:r w:rsidRPr="006263D5">
        <w:rPr>
          <w:rFonts w:eastAsia="Times New Roman"/>
        </w:rPr>
        <w:t>Que</w:t>
      </w:r>
      <w:r w:rsidRPr="006263D5">
        <w:rPr>
          <w:rFonts w:eastAsia="Times New Roman"/>
          <w:i/>
          <w:iCs/>
        </w:rPr>
        <w:t xml:space="preserve">, </w:t>
      </w:r>
      <w:r w:rsidRPr="00930FF1">
        <w:rPr>
          <w:rFonts w:eastAsia="Times New Roman"/>
          <w:iCs/>
        </w:rPr>
        <w:t xml:space="preserve">el Estatuto Orgánico </w:t>
      </w:r>
      <w:r w:rsidR="00C1176B">
        <w:rPr>
          <w:rFonts w:eastAsia="Times New Roman"/>
          <w:iCs/>
        </w:rPr>
        <w:t xml:space="preserve">de Gestión Organizacional </w:t>
      </w:r>
      <w:r w:rsidRPr="00930FF1">
        <w:rPr>
          <w:rFonts w:eastAsia="Times New Roman"/>
          <w:iCs/>
        </w:rPr>
        <w:t>por Procesos del SECAP</w:t>
      </w:r>
      <w:r w:rsidRPr="006263D5">
        <w:rPr>
          <w:rFonts w:eastAsia="Times New Roman"/>
          <w:i/>
          <w:iCs/>
        </w:rPr>
        <w:t xml:space="preserve">, </w:t>
      </w:r>
      <w:r w:rsidRPr="006263D5">
        <w:rPr>
          <w:rFonts w:eastAsia="Times New Roman"/>
        </w:rPr>
        <w:t xml:space="preserve">Resolución No. SECAP-SECAP-2020-0012-R, </w:t>
      </w:r>
      <w:r w:rsidR="00C021B6">
        <w:rPr>
          <w:rFonts w:eastAsia="Times New Roman"/>
        </w:rPr>
        <w:t xml:space="preserve">del 21 de septiembre de 2020, </w:t>
      </w:r>
      <w:r w:rsidR="007A7A42">
        <w:rPr>
          <w:rFonts w:eastAsia="Times New Roman"/>
        </w:rPr>
        <w:t xml:space="preserve">Reformado mediante </w:t>
      </w:r>
      <w:r w:rsidR="007A7A42" w:rsidRPr="007A7A42">
        <w:rPr>
          <w:rFonts w:eastAsia="Times New Roman"/>
        </w:rPr>
        <w:t>Resolución Nro. SECAP-SECAP-2023-0001-R</w:t>
      </w:r>
      <w:r w:rsidR="007A7A42">
        <w:rPr>
          <w:rFonts w:eastAsia="Times New Roman"/>
        </w:rPr>
        <w:t>, 12 de enero del 2023</w:t>
      </w:r>
      <w:r w:rsidR="001458E5">
        <w:rPr>
          <w:rFonts w:eastAsia="Times New Roman"/>
        </w:rPr>
        <w:t xml:space="preserve">, Registro Oficial 242 del 01 de febrero del 2023, </w:t>
      </w:r>
      <w:r w:rsidR="00C021B6">
        <w:rPr>
          <w:rFonts w:eastAsia="Times New Roman"/>
        </w:rPr>
        <w:t>en su a</w:t>
      </w:r>
      <w:r w:rsidRPr="006263D5">
        <w:rPr>
          <w:rFonts w:eastAsia="Times New Roman"/>
        </w:rPr>
        <w:t>rt</w:t>
      </w:r>
      <w:r w:rsidR="00C021B6">
        <w:rPr>
          <w:rFonts w:eastAsia="Times New Roman"/>
        </w:rPr>
        <w:t>ículo 1</w:t>
      </w:r>
      <w:r w:rsidRPr="006263D5">
        <w:rPr>
          <w:rFonts w:eastAsia="Times New Roman"/>
        </w:rPr>
        <w:t xml:space="preserve">0.- Estructura Descriptiva. - 1. NIVEL DE GESTIÓN CENTRAL 1.1. Proceso Gobernante 1.1.1. Nivel Directivo 1.1.1.1. Dirección Ejecutiva, </w:t>
      </w:r>
      <w:r w:rsidR="00301D94">
        <w:rPr>
          <w:rFonts w:eastAsia="Times New Roman"/>
        </w:rPr>
        <w:t>numeral 3</w:t>
      </w:r>
      <w:r w:rsidRPr="006263D5">
        <w:rPr>
          <w:rFonts w:eastAsia="Times New Roman"/>
        </w:rPr>
        <w:t xml:space="preserve">. </w:t>
      </w:r>
      <w:r w:rsidR="00301D94">
        <w:rPr>
          <w:rFonts w:eastAsia="Times New Roman"/>
        </w:rPr>
        <w:t>“</w:t>
      </w:r>
      <w:r w:rsidR="00301D94" w:rsidRPr="00301D94">
        <w:rPr>
          <w:rFonts w:eastAsia="Times New Roman"/>
          <w:i/>
          <w:iCs/>
        </w:rPr>
        <w:t>Cumplir y hacer cumplir las Leyes, Reglamentos, Decretos, Resoluciones y más</w:t>
      </w:r>
      <w:r w:rsidR="00301D94">
        <w:rPr>
          <w:rFonts w:eastAsia="Times New Roman"/>
          <w:i/>
          <w:iCs/>
        </w:rPr>
        <w:t xml:space="preserve"> </w:t>
      </w:r>
      <w:r w:rsidR="00301D94" w:rsidRPr="00301D94">
        <w:rPr>
          <w:rFonts w:eastAsia="Times New Roman"/>
          <w:i/>
          <w:iCs/>
        </w:rPr>
        <w:t>disposiciones legales y normativas en materia de capacitación, certificación y/o</w:t>
      </w:r>
      <w:r w:rsidR="00301D94">
        <w:rPr>
          <w:rFonts w:eastAsia="Times New Roman"/>
          <w:i/>
          <w:iCs/>
        </w:rPr>
        <w:t xml:space="preserve"> </w:t>
      </w:r>
      <w:r w:rsidR="00301D94" w:rsidRPr="00301D94">
        <w:rPr>
          <w:rFonts w:eastAsia="Times New Roman"/>
          <w:i/>
          <w:iCs/>
        </w:rPr>
        <w:t>demás servicios institucionales;</w:t>
      </w:r>
      <w:r w:rsidR="00301D94">
        <w:rPr>
          <w:rFonts w:eastAsia="Times New Roman"/>
          <w:i/>
          <w:iCs/>
        </w:rPr>
        <w:t xml:space="preserve"> numeral 10</w:t>
      </w:r>
      <w:r w:rsidR="00B311D5">
        <w:rPr>
          <w:rFonts w:eastAsia="Times New Roman"/>
          <w:i/>
          <w:iCs/>
        </w:rPr>
        <w:t xml:space="preserve">, </w:t>
      </w:r>
      <w:r w:rsidR="00C31BFD">
        <w:rPr>
          <w:rFonts w:eastAsia="Times New Roman"/>
        </w:rPr>
        <w:t>“</w:t>
      </w:r>
      <w:r w:rsidR="00301D94" w:rsidRPr="00301D94">
        <w:rPr>
          <w:rFonts w:eastAsia="Times New Roman"/>
          <w:i/>
          <w:iCs/>
        </w:rPr>
        <w:t>Legalizar los actos administrativos de conformidad con lo establecido en las leyes</w:t>
      </w:r>
      <w:r w:rsidR="00301D94">
        <w:rPr>
          <w:rFonts w:eastAsia="Times New Roman"/>
          <w:i/>
          <w:iCs/>
        </w:rPr>
        <w:t xml:space="preserve"> </w:t>
      </w:r>
      <w:r w:rsidR="00301D94" w:rsidRPr="00301D94">
        <w:rPr>
          <w:rFonts w:eastAsia="Times New Roman"/>
          <w:i/>
          <w:iCs/>
        </w:rPr>
        <w:t>y/o demás instrumentos jurídicos</w:t>
      </w:r>
      <w:r w:rsidR="007A7A42">
        <w:rPr>
          <w:rFonts w:eastAsia="Times New Roman"/>
          <w:i/>
          <w:iCs/>
        </w:rPr>
        <w:t>; y numeral 14, “</w:t>
      </w:r>
      <w:r w:rsidR="007A7A42" w:rsidRPr="007A7A42">
        <w:rPr>
          <w:rFonts w:eastAsia="Times New Roman"/>
          <w:i/>
          <w:iCs/>
        </w:rPr>
        <w:t>Ejercer las demás atribuciones que le confiere la Ley creación y funcionamiento del</w:t>
      </w:r>
      <w:r w:rsidR="007A7A42">
        <w:rPr>
          <w:rFonts w:eastAsia="Times New Roman"/>
          <w:i/>
          <w:iCs/>
        </w:rPr>
        <w:t xml:space="preserve"> </w:t>
      </w:r>
      <w:r w:rsidR="007A7A42" w:rsidRPr="007A7A42">
        <w:rPr>
          <w:rFonts w:eastAsia="Times New Roman"/>
          <w:i/>
          <w:iCs/>
        </w:rPr>
        <w:t>SECAP, su Reglamento y otras establecidas en el marco legal vigente</w:t>
      </w:r>
      <w:r w:rsidR="007A7A42">
        <w:rPr>
          <w:rFonts w:eastAsia="Times New Roman"/>
          <w:i/>
          <w:iCs/>
        </w:rPr>
        <w:t>”.</w:t>
      </w:r>
    </w:p>
    <w:p w14:paraId="77149E17" w14:textId="27BF11AE" w:rsidR="007B4A45" w:rsidRDefault="006263D5" w:rsidP="0088263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</w:r>
      <w:r w:rsidR="00E5365B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Resolución No. SECAP-SECAP-2020-0012-R, del 21 de septiembre de 2020, Reformado mediante Resolución Nro. SECAP-SECAP-2023-0001-R, 12 de enero del 2023, Registro Oficial 242 del 01 de febrero del 2023</w:t>
      </w:r>
      <w:r w:rsidR="00C1176B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, </w:t>
      </w:r>
      <w:r w:rsidR="000D4140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e</w:t>
      </w:r>
      <w:r w:rsidR="00C1176B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n su </w:t>
      </w:r>
      <w:r w:rsidR="00795F1A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numeral</w:t>
      </w:r>
      <w:r w:rsidR="00C1176B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 </w:t>
      </w:r>
      <w:r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1.3.2. Nivel de </w:t>
      </w:r>
      <w:proofErr w:type="gramStart"/>
      <w:r w:rsidR="003A04A5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Apoyo.-</w:t>
      </w:r>
      <w:proofErr w:type="gramEnd"/>
      <w:r w:rsidR="00FF3DAE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 </w:t>
      </w:r>
      <w:r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1.3.2.1. Gestión Administrativa</w:t>
      </w:r>
      <w:r w:rsidR="00151217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 </w:t>
      </w:r>
      <w:proofErr w:type="gramStart"/>
      <w:r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Financiera.-</w:t>
      </w:r>
      <w:proofErr w:type="gramEnd"/>
      <w:r w:rsidR="00151217"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 xml:space="preserve"> </w:t>
      </w:r>
      <w:r w:rsidRPr="00151217">
        <w:rPr>
          <w:rFonts w:ascii="Times New Roman" w:eastAsia="Times New Roman" w:hAnsi="Times New Roman"/>
          <w:iCs/>
          <w:color w:val="000000"/>
          <w:sz w:val="24"/>
          <w:szCs w:val="24"/>
          <w:lang w:eastAsia="es-EC"/>
        </w:rPr>
        <w:t>Responsable: Coordinador General Administrativo Financiero Atribuciones y responsabilidades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: </w:t>
      </w:r>
      <w:r w:rsidR="000D414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numeral </w:t>
      </w:r>
      <w:r w:rsid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9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.</w:t>
      </w:r>
      <w:r w:rsid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0C23D0" w:rsidRP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Coordinar que se garantice la razonabilidad, oportunidad y consistencia de la</w:t>
      </w:r>
      <w:r w:rsid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0C23D0" w:rsidRP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información generada en los procesos contables, presupuestarios y de tesorería de la</w:t>
      </w:r>
      <w:r w:rsid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0C23D0" w:rsidRPr="000C23D0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institución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; numeral 17, “</w:t>
      </w:r>
      <w:r w:rsidR="00882636" w:rsidRP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Aprobar instrumentos, lineamientos técnicos y/o procedimientos que instrumenten la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882636" w:rsidRP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gestión de las direcciones a su cargo;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numeral 18, “</w:t>
      </w:r>
      <w:r w:rsidR="00882636" w:rsidRP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Gestionar las demás atribuciones y responsabilidades que le sean asignadas por la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882636" w:rsidRP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autoridad competente mediante el acto administrativo correspondiente, en el ámbito de su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882636" w:rsidRP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competencia.</w:t>
      </w:r>
      <w:r w:rsidR="00882636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”.</w:t>
      </w:r>
    </w:p>
    <w:p w14:paraId="7BC96D17" w14:textId="561FA9C7" w:rsidR="00E7107F" w:rsidRDefault="006263D5" w:rsidP="00420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lastRenderedPageBreak/>
        <w:br/>
      </w:r>
      <w:r w:rsidR="000D5E7B" w:rsidRPr="000D5E7B">
        <w:rPr>
          <w:rFonts w:ascii="Times New Roman" w:eastAsia="Times New Roman" w:hAnsi="Times New Roman"/>
          <w:sz w:val="24"/>
          <w:szCs w:val="24"/>
          <w:lang w:eastAsia="es-EC"/>
        </w:rPr>
        <w:t>Resolución No. SECAP-SECAP-2020-0012-R, del 21 de septiembre de 2020, Reformado mediante Resolución Nro. SECAP-SECAP-2023-0001-R, 12 de enero del 2023, Registro Oficial 242 del 01 de febrero del 2023</w:t>
      </w:r>
      <w:r w:rsidR="00795F1A">
        <w:rPr>
          <w:rFonts w:ascii="Times New Roman" w:eastAsia="Times New Roman" w:hAnsi="Times New Roman"/>
          <w:sz w:val="24"/>
          <w:szCs w:val="24"/>
          <w:lang w:eastAsia="es-EC"/>
        </w:rPr>
        <w:t xml:space="preserve">, en el numeral </w:t>
      </w:r>
      <w:r w:rsidR="00795F1A" w:rsidRPr="00795F1A">
        <w:rPr>
          <w:rFonts w:ascii="Times New Roman" w:eastAsia="Times New Roman" w:hAnsi="Times New Roman"/>
          <w:sz w:val="24"/>
          <w:szCs w:val="24"/>
          <w:lang w:eastAsia="es-EC"/>
        </w:rPr>
        <w:t xml:space="preserve">1.3.2.2 </w:t>
      </w:r>
      <w:r w:rsidR="00795F1A">
        <w:rPr>
          <w:rFonts w:ascii="Times New Roman" w:eastAsia="Times New Roman" w:hAnsi="Times New Roman"/>
          <w:sz w:val="24"/>
          <w:szCs w:val="24"/>
          <w:lang w:eastAsia="es-EC"/>
        </w:rPr>
        <w:t>Gestión Administrativa, R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esponsable:</w:t>
      </w:r>
      <w:r w:rsidR="000D5E7B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Director Administrativo Atribuciones y Responsabilidades:</w:t>
      </w:r>
      <w:r w:rsidR="00420488">
        <w:rPr>
          <w:rFonts w:ascii="Times New Roman" w:eastAsia="Times New Roman" w:hAnsi="Times New Roman"/>
          <w:sz w:val="24"/>
          <w:szCs w:val="24"/>
          <w:lang w:eastAsia="es-EC"/>
        </w:rPr>
        <w:t xml:space="preserve"> numeral 1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.</w:t>
      </w:r>
      <w:r w:rsidR="00420488" w:rsidRPr="00420488"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Supervisar el cumplimiento de las políticas emanadas por la autoridad de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conformidad con lo dispuesto en las leyes, normas y reglamentos pertinentes, en el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ámbito de su gestión</w:t>
      </w:r>
      <w:r w:rsidR="00E7107F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</w:t>
      </w:r>
      <w:r w:rsidRPr="006263D5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;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numeral 5;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Administrar bienes y servicios a nivel nacional dentro del ámbito de su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competencia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; numeral 9, </w:t>
      </w:r>
      <w:r w:rsidR="0038086A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“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Gestionar y elaborar las resoluciones para ejecutar los procesos de venta, remate,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donación, destrucción y chatarrización de bienes institucionales, para aprobación de</w:t>
      </w:r>
      <w:r w:rsid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420488" w:rsidRPr="00420488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la Unidad Administrativa Financiera</w:t>
      </w:r>
      <w:r w:rsidR="0038086A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”.</w:t>
      </w:r>
    </w:p>
    <w:p w14:paraId="17C10F1D" w14:textId="646D7A83" w:rsidR="00371BE2" w:rsidRDefault="00371BE2" w:rsidP="00420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5701EF85" w14:textId="24A76EC3" w:rsidR="00371BE2" w:rsidRPr="00371BE2" w:rsidRDefault="00371BE2" w:rsidP="0009270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  <w:r w:rsidRPr="000D5E7B">
        <w:rPr>
          <w:rFonts w:ascii="Times New Roman" w:eastAsia="Times New Roman" w:hAnsi="Times New Roman"/>
          <w:sz w:val="24"/>
          <w:szCs w:val="24"/>
          <w:lang w:eastAsia="es-EC"/>
        </w:rPr>
        <w:t>Resolución No. SECAP-SECAP-2020-0012-R, del 21 de septiembre de 2020, Reformado mediante Resolución Nro. SECAP-SECAP-2023-0001-R, 12 de enero del 2023, Registro Oficial 242 del 01 de febrero del 2023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, en el numeral</w:t>
      </w:r>
      <w:r w:rsidRPr="00371BE2">
        <w:t xml:space="preserve"> </w:t>
      </w:r>
      <w:r w:rsidRPr="00371BE2">
        <w:rPr>
          <w:rFonts w:ascii="Times New Roman" w:eastAsia="Times New Roman" w:hAnsi="Times New Roman"/>
          <w:sz w:val="24"/>
          <w:szCs w:val="24"/>
          <w:lang w:eastAsia="es-EC"/>
        </w:rPr>
        <w:t>1.3.2.3. Gestión Financiera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, </w:t>
      </w:r>
      <w:r w:rsidRPr="00371BE2">
        <w:rPr>
          <w:rFonts w:ascii="Times New Roman" w:eastAsia="Times New Roman" w:hAnsi="Times New Roman"/>
          <w:sz w:val="24"/>
          <w:szCs w:val="24"/>
          <w:lang w:eastAsia="es-EC"/>
        </w:rPr>
        <w:t>Responsable: Director/a Financiero/a</w:t>
      </w: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, </w:t>
      </w:r>
      <w:r w:rsidR="001E57BC" w:rsidRPr="001E57BC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numeral 1</w:t>
      </w:r>
      <w:r w:rsidR="001E57BC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:</w:t>
      </w:r>
      <w:r w:rsidR="001E57BC" w:rsidRPr="001E57BC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“Gestionar, supervisar, y controlar el cumplimiento de las políticas financieras emanadas por la autoridad de conformidad con lo dispuesto en las leyes, reglamentos y normativa pertinente; dentro del ámbito del presupuesto, contabilidad y tesorería;</w:t>
      </w:r>
      <w:r w:rsidR="001E57BC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Pr="00371BE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numeral 6</w:t>
      </w:r>
      <w:r w:rsidR="001E57BC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: 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“</w:t>
      </w:r>
      <w:r w:rsidRPr="00371BE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Generar y supervisar el proceso para la administración de activos públicos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Pr="00371BE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institucionales en coordinación con la Unidad Administrativa Institucional, en el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Pr="00371BE2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ámbito de su competenci</w:t>
      </w:r>
      <w:r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a”</w:t>
      </w:r>
      <w:r w:rsid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; numeral 8: </w:t>
      </w:r>
      <w:r w:rsidR="0009270D" w:rsidRP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Revisar y analizar la información financiera (saldos de las cuentas, informes y</w:t>
      </w:r>
      <w:r w:rsid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09270D" w:rsidRP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conciliaciones contables)</w:t>
      </w:r>
      <w:r w:rsid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”; y numeral 11: “</w:t>
      </w:r>
      <w:r w:rsidR="0009270D" w:rsidRP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Generar instrumentos, lineamientos técnicos y/o procedimientos que instrumenten la</w:t>
      </w:r>
      <w:r w:rsid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 xml:space="preserve"> </w:t>
      </w:r>
      <w:r w:rsidR="0009270D" w:rsidRP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gestión de la unidad</w:t>
      </w:r>
      <w:r w:rsidR="0009270D">
        <w:rPr>
          <w:rFonts w:ascii="Times New Roman" w:eastAsia="Times New Roman" w:hAnsi="Times New Roman"/>
          <w:i/>
          <w:iCs/>
          <w:sz w:val="24"/>
          <w:szCs w:val="24"/>
          <w:lang w:eastAsia="es-EC"/>
        </w:rPr>
        <w:t>”.</w:t>
      </w:r>
    </w:p>
    <w:p w14:paraId="6521427E" w14:textId="4800BB02" w:rsidR="00371BE2" w:rsidRPr="00371BE2" w:rsidRDefault="00371BE2" w:rsidP="0042048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es-EC"/>
        </w:rPr>
      </w:pPr>
    </w:p>
    <w:p w14:paraId="2B694029" w14:textId="0724779F" w:rsidR="00151217" w:rsidRDefault="001C31F1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>Antecedentes</w:t>
      </w:r>
    </w:p>
    <w:p w14:paraId="7EB0D23E" w14:textId="607E80B8" w:rsidR="00151217" w:rsidRDefault="00151217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26E2E142" w14:textId="68E874D2" w:rsidR="00387BFE" w:rsidRDefault="00387BFE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56117688" w14:textId="54E52DE2" w:rsidR="00151217" w:rsidRDefault="00151217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449356F5" w14:textId="77777777" w:rsidR="009D1C8E" w:rsidRDefault="009D1C8E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4C44550D" w14:textId="26F84014" w:rsidR="004711B0" w:rsidRDefault="00151217" w:rsidP="00A4389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151217">
        <w:rPr>
          <w:rFonts w:ascii="Times New Roman" w:eastAsia="Times New Roman" w:hAnsi="Times New Roman"/>
          <w:sz w:val="24"/>
          <w:szCs w:val="24"/>
          <w:lang w:eastAsia="es-EC"/>
        </w:rPr>
        <w:t xml:space="preserve">En uso de sus atribuciones legales y reglamentarias, plenamente determinadas en la Resolución Nro. </w:t>
      </w:r>
      <w:proofErr w:type="spellStart"/>
      <w:r w:rsidR="001C31F1" w:rsidRPr="001C31F1">
        <w:rPr>
          <w:rFonts w:ascii="Times New Roman" w:eastAsia="Times New Roman" w:hAnsi="Times New Roman"/>
          <w:sz w:val="24"/>
          <w:szCs w:val="24"/>
          <w:highlight w:val="yellow"/>
          <w:lang w:eastAsia="es-EC"/>
        </w:rPr>
        <w:t>xxxxxxx</w:t>
      </w:r>
      <w:proofErr w:type="spellEnd"/>
      <w:r w:rsidRPr="00151217">
        <w:rPr>
          <w:rFonts w:ascii="Times New Roman" w:eastAsia="Times New Roman" w:hAnsi="Times New Roman"/>
          <w:sz w:val="24"/>
          <w:szCs w:val="24"/>
          <w:lang w:eastAsia="es-EC"/>
        </w:rPr>
        <w:t xml:space="preserve">, de </w:t>
      </w:r>
      <w:proofErr w:type="spellStart"/>
      <w:r w:rsidR="001C31F1" w:rsidRPr="001C31F1">
        <w:rPr>
          <w:rFonts w:ascii="Times New Roman" w:eastAsia="Times New Roman" w:hAnsi="Times New Roman"/>
          <w:sz w:val="24"/>
          <w:szCs w:val="24"/>
          <w:highlight w:val="yellow"/>
          <w:lang w:eastAsia="es-EC"/>
        </w:rPr>
        <w:t>xxxxxx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 y, conforme a lo preceptuado en el artículo 148 del Reglamento para la Administración de Bienes del Sector Públicos, </w:t>
      </w:r>
    </w:p>
    <w:p w14:paraId="29320DB6" w14:textId="77777777" w:rsidR="00151217" w:rsidRDefault="00151217" w:rsidP="00B631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238E2149" w14:textId="77777777" w:rsidR="006263D5" w:rsidRPr="006263D5" w:rsidRDefault="006263D5" w:rsidP="00E01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b/>
          <w:bCs/>
          <w:sz w:val="24"/>
          <w:szCs w:val="24"/>
          <w:lang w:eastAsia="es-EC"/>
        </w:rPr>
        <w:t>RESUELVE:</w:t>
      </w:r>
    </w:p>
    <w:p w14:paraId="3959C0E1" w14:textId="77777777" w:rsidR="001C31F1" w:rsidRDefault="006263D5" w:rsidP="00EE65CB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</w:r>
      <w:r w:rsidRPr="00EE65CB">
        <w:rPr>
          <w:rFonts w:ascii="Times New Roman" w:eastAsia="Times New Roman" w:hAnsi="Times New Roman"/>
          <w:b/>
          <w:bCs/>
          <w:iCs/>
          <w:sz w:val="24"/>
          <w:szCs w:val="24"/>
          <w:lang w:eastAsia="es-EC"/>
        </w:rPr>
        <w:t>Artículo 1</w:t>
      </w:r>
      <w:r w:rsidRPr="00EE65CB">
        <w:rPr>
          <w:rFonts w:ascii="Times New Roman" w:eastAsia="Times New Roman" w:hAnsi="Times New Roman"/>
          <w:sz w:val="24"/>
          <w:szCs w:val="24"/>
          <w:lang w:eastAsia="es-EC"/>
        </w:rPr>
        <w:t xml:space="preserve">. </w:t>
      </w:r>
      <w:r w:rsidR="00151217">
        <w:rPr>
          <w:rFonts w:ascii="Times New Roman" w:eastAsia="Times New Roman" w:hAnsi="Times New Roman"/>
          <w:sz w:val="24"/>
          <w:szCs w:val="24"/>
          <w:lang w:eastAsia="es-EC"/>
        </w:rPr>
        <w:t xml:space="preserve">Autorizar la baja de los bienes </w:t>
      </w:r>
      <w:proofErr w:type="spellStart"/>
      <w:r w:rsidR="001C31F1" w:rsidRPr="001C31F1">
        <w:rPr>
          <w:rFonts w:ascii="Times New Roman" w:eastAsia="Times New Roman" w:hAnsi="Times New Roman"/>
          <w:sz w:val="24"/>
          <w:szCs w:val="24"/>
          <w:highlight w:val="yellow"/>
          <w:lang w:eastAsia="es-EC"/>
        </w:rPr>
        <w:t>xxxxxxxxxxxxxxxx</w:t>
      </w:r>
      <w:proofErr w:type="spellEnd"/>
    </w:p>
    <w:p w14:paraId="47779EEF" w14:textId="528E54D8" w:rsidR="00CE30BD" w:rsidRDefault="00151217" w:rsidP="00EE65CB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/>
          <w:sz w:val="24"/>
          <w:szCs w:val="24"/>
          <w:lang w:eastAsia="es-EC"/>
        </w:rPr>
        <w:t xml:space="preserve">de acuerdo </w:t>
      </w:r>
      <w:r w:rsidR="00387BFE">
        <w:rPr>
          <w:rFonts w:ascii="Times New Roman" w:eastAsia="Times New Roman" w:hAnsi="Times New Roman"/>
          <w:sz w:val="24"/>
          <w:szCs w:val="24"/>
          <w:lang w:eastAsia="es-EC"/>
        </w:rPr>
        <w:t xml:space="preserve">con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siguiente detalle:</w:t>
      </w:r>
    </w:p>
    <w:tbl>
      <w:tblPr>
        <w:tblStyle w:val="Tablaconcuadrcula"/>
        <w:tblW w:w="10703" w:type="dxa"/>
        <w:tblInd w:w="-1108" w:type="dxa"/>
        <w:tblLook w:val="04A0" w:firstRow="1" w:lastRow="0" w:firstColumn="1" w:lastColumn="0" w:noHBand="0" w:noVBand="1"/>
      </w:tblPr>
      <w:tblGrid>
        <w:gridCol w:w="1177"/>
        <w:gridCol w:w="1176"/>
        <w:gridCol w:w="2937"/>
        <w:gridCol w:w="1457"/>
        <w:gridCol w:w="1243"/>
        <w:gridCol w:w="1670"/>
        <w:gridCol w:w="1043"/>
      </w:tblGrid>
      <w:tr w:rsidR="009D1C8E" w:rsidRPr="009D1C8E" w14:paraId="7FD9BA36" w14:textId="77777777" w:rsidTr="00F33948">
        <w:tc>
          <w:tcPr>
            <w:tcW w:w="1177" w:type="dxa"/>
          </w:tcPr>
          <w:p w14:paraId="019E1BF0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CODIGO DE BARRAS</w:t>
            </w:r>
          </w:p>
        </w:tc>
        <w:tc>
          <w:tcPr>
            <w:tcW w:w="1176" w:type="dxa"/>
          </w:tcPr>
          <w:p w14:paraId="29A26CA1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 xml:space="preserve">CODIGO </w:t>
            </w:r>
            <w:proofErr w:type="spellStart"/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eSBYE</w:t>
            </w:r>
            <w:proofErr w:type="spellEnd"/>
          </w:p>
        </w:tc>
        <w:tc>
          <w:tcPr>
            <w:tcW w:w="2937" w:type="dxa"/>
          </w:tcPr>
          <w:p w14:paraId="572E16EF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NOMBRE</w:t>
            </w:r>
          </w:p>
        </w:tc>
        <w:tc>
          <w:tcPr>
            <w:tcW w:w="1457" w:type="dxa"/>
          </w:tcPr>
          <w:p w14:paraId="1E32A7E1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MARCA</w:t>
            </w:r>
          </w:p>
        </w:tc>
        <w:tc>
          <w:tcPr>
            <w:tcW w:w="1243" w:type="dxa"/>
          </w:tcPr>
          <w:p w14:paraId="185F24D4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MODELO</w:t>
            </w:r>
          </w:p>
        </w:tc>
        <w:tc>
          <w:tcPr>
            <w:tcW w:w="1670" w:type="dxa"/>
          </w:tcPr>
          <w:p w14:paraId="15149470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SERIE</w:t>
            </w:r>
          </w:p>
        </w:tc>
        <w:tc>
          <w:tcPr>
            <w:tcW w:w="1043" w:type="dxa"/>
          </w:tcPr>
          <w:p w14:paraId="518F41BC" w14:textId="77777777" w:rsidR="009D1C8E" w:rsidRPr="009D1C8E" w:rsidRDefault="009D1C8E" w:rsidP="00F3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</w:pPr>
            <w:r w:rsidRPr="009D1C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</w:tr>
      <w:tr w:rsidR="009D1C8E" w:rsidRPr="009D1C8E" w14:paraId="423C9E29" w14:textId="77777777" w:rsidTr="00F33948">
        <w:tc>
          <w:tcPr>
            <w:tcW w:w="1177" w:type="dxa"/>
          </w:tcPr>
          <w:p w14:paraId="5EC99F8E" w14:textId="2A4C00DE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77FAE0D3" w14:textId="549D1C1A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6E90017A" w14:textId="7B06F2CA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259584DB" w14:textId="0E9B688F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74168FCF" w14:textId="10CFCA95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2097F8A1" w14:textId="6710F68F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0129F8DB" w14:textId="1CBF0434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66A54D8D" w14:textId="77777777" w:rsidTr="00F33948">
        <w:tc>
          <w:tcPr>
            <w:tcW w:w="1177" w:type="dxa"/>
          </w:tcPr>
          <w:p w14:paraId="2A8C5201" w14:textId="06E88B40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6432BDC3" w14:textId="5CAD7EDB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09A6D409" w14:textId="2E17A8A5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602109DA" w14:textId="0E8C0E92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6E83CCF4" w14:textId="087F166D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515AA7E6" w14:textId="1FD34EB4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1DE7F4C1" w14:textId="40C9FBF2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75294EB8" w14:textId="77777777" w:rsidTr="00F33948">
        <w:tc>
          <w:tcPr>
            <w:tcW w:w="1177" w:type="dxa"/>
          </w:tcPr>
          <w:p w14:paraId="6E9D1853" w14:textId="571FFF3E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1BBB1CE5" w14:textId="459DF07F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745030AA" w14:textId="00F80329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4367E1CB" w14:textId="283B2B47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034E024A" w14:textId="4239388C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62BA86AE" w14:textId="140C983E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28CDAB17" w14:textId="2232DB1C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2E2FC401" w14:textId="77777777" w:rsidTr="00F33948">
        <w:tc>
          <w:tcPr>
            <w:tcW w:w="1177" w:type="dxa"/>
          </w:tcPr>
          <w:p w14:paraId="4CBDDFFB" w14:textId="0928CE69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2B4672D5" w14:textId="54883A13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48B01644" w14:textId="5075DC10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26531415" w14:textId="07C29FB7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5C363A40" w14:textId="77777777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2765942D" w14:textId="77777777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7EF23D8A" w14:textId="018FE14B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5C27D698" w14:textId="77777777" w:rsidTr="00F33948">
        <w:tc>
          <w:tcPr>
            <w:tcW w:w="1177" w:type="dxa"/>
          </w:tcPr>
          <w:p w14:paraId="797F315A" w14:textId="5C26C4CF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1F95457B" w14:textId="5B6C1321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3C9735DB" w14:textId="17CE2B9E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0FF9F8EA" w14:textId="1F97A629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03CEE122" w14:textId="17BBED9F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329F8AB4" w14:textId="3154A7F3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2D98DB75" w14:textId="7D834E02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2CD75705" w14:textId="77777777" w:rsidTr="00F33948">
        <w:tc>
          <w:tcPr>
            <w:tcW w:w="1177" w:type="dxa"/>
          </w:tcPr>
          <w:p w14:paraId="7F605CCE" w14:textId="16FE6258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2ED55801" w14:textId="587EE404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499DD9EE" w14:textId="5879ECD1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47BE68CF" w14:textId="49298256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6EC7B5DF" w14:textId="4AEB8A68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7E9922B2" w14:textId="346CBF16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53D4FC13" w14:textId="565921A6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  <w:tr w:rsidR="009D1C8E" w:rsidRPr="009D1C8E" w14:paraId="65FD4048" w14:textId="77777777" w:rsidTr="00F33948">
        <w:tc>
          <w:tcPr>
            <w:tcW w:w="1177" w:type="dxa"/>
          </w:tcPr>
          <w:p w14:paraId="5C3226CB" w14:textId="366704F3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176" w:type="dxa"/>
          </w:tcPr>
          <w:p w14:paraId="0B071AA2" w14:textId="62CEE654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2937" w:type="dxa"/>
          </w:tcPr>
          <w:p w14:paraId="2A956702" w14:textId="7B4D62A9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457" w:type="dxa"/>
          </w:tcPr>
          <w:p w14:paraId="409D8D5F" w14:textId="244B6423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243" w:type="dxa"/>
          </w:tcPr>
          <w:p w14:paraId="77454096" w14:textId="5E455143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670" w:type="dxa"/>
          </w:tcPr>
          <w:p w14:paraId="36CBBAD8" w14:textId="475D384A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  <w:tc>
          <w:tcPr>
            <w:tcW w:w="1043" w:type="dxa"/>
          </w:tcPr>
          <w:p w14:paraId="40CBD027" w14:textId="380F8B3B" w:rsidR="009D1C8E" w:rsidRPr="009D1C8E" w:rsidRDefault="009D1C8E" w:rsidP="00F339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C"/>
              </w:rPr>
            </w:pPr>
          </w:p>
        </w:tc>
      </w:tr>
    </w:tbl>
    <w:p w14:paraId="263BD6DC" w14:textId="77777777" w:rsidR="00151217" w:rsidRDefault="00151217" w:rsidP="0015121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</w:p>
    <w:p w14:paraId="6E5BD898" w14:textId="2D1C0014" w:rsidR="00EE65CB" w:rsidRDefault="00151217" w:rsidP="00151217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es-EC"/>
        </w:rPr>
        <w:lastRenderedPageBreak/>
        <w:t>A</w:t>
      </w:r>
      <w:r w:rsidR="006263D5" w:rsidRPr="0024646D">
        <w:rPr>
          <w:rFonts w:ascii="Times New Roman" w:eastAsia="Times New Roman" w:hAnsi="Times New Roman"/>
          <w:b/>
          <w:bCs/>
          <w:iCs/>
          <w:sz w:val="24"/>
          <w:szCs w:val="24"/>
          <w:lang w:eastAsia="es-EC"/>
        </w:rPr>
        <w:t>rtículo 2.</w:t>
      </w:r>
      <w:r w:rsidR="006263D5" w:rsidRPr="006263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C"/>
        </w:rPr>
        <w:t xml:space="preserve"> </w:t>
      </w:r>
      <w:r w:rsidR="006263D5"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Disponer a la Dirección </w:t>
      </w:r>
      <w:r w:rsidR="00AD793F">
        <w:rPr>
          <w:rFonts w:ascii="Times New Roman" w:eastAsia="Times New Roman" w:hAnsi="Times New Roman"/>
          <w:sz w:val="24"/>
          <w:szCs w:val="24"/>
          <w:lang w:eastAsia="es-EC"/>
        </w:rPr>
        <w:t xml:space="preserve">Administrativa y a la Dirección </w:t>
      </w:r>
      <w:r w:rsidR="006263D5" w:rsidRPr="006263D5">
        <w:rPr>
          <w:rFonts w:ascii="Times New Roman" w:eastAsia="Times New Roman" w:hAnsi="Times New Roman"/>
          <w:sz w:val="24"/>
          <w:szCs w:val="24"/>
          <w:lang w:eastAsia="es-EC"/>
        </w:rPr>
        <w:t>Financiera</w:t>
      </w:r>
      <w:r w:rsidR="00AD793F">
        <w:rPr>
          <w:rFonts w:ascii="Times New Roman" w:eastAsia="Times New Roman" w:hAnsi="Times New Roman"/>
          <w:sz w:val="24"/>
          <w:szCs w:val="24"/>
          <w:lang w:eastAsia="es-EC"/>
        </w:rPr>
        <w:t xml:space="preserve">, efectúen conforme a sus competencias, </w:t>
      </w:r>
      <w:r w:rsidR="006263D5"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la baja en los registros </w:t>
      </w:r>
      <w:r w:rsidR="00AD793F">
        <w:rPr>
          <w:rFonts w:ascii="Times New Roman" w:eastAsia="Times New Roman" w:hAnsi="Times New Roman"/>
          <w:sz w:val="24"/>
          <w:szCs w:val="24"/>
          <w:lang w:eastAsia="es-EC"/>
        </w:rPr>
        <w:t>pertinentes y demás acciones administrativa</w:t>
      </w:r>
      <w:r w:rsidR="006263D5" w:rsidRPr="006263D5">
        <w:rPr>
          <w:rFonts w:ascii="Times New Roman" w:eastAsia="Times New Roman" w:hAnsi="Times New Roman"/>
          <w:sz w:val="24"/>
          <w:szCs w:val="24"/>
          <w:lang w:eastAsia="es-EC"/>
        </w:rPr>
        <w:t>s</w:t>
      </w:r>
      <w:r w:rsidR="00AD793F">
        <w:rPr>
          <w:rFonts w:ascii="Times New Roman" w:eastAsia="Times New Roman" w:hAnsi="Times New Roman"/>
          <w:sz w:val="24"/>
          <w:szCs w:val="24"/>
          <w:lang w:eastAsia="es-EC"/>
        </w:rPr>
        <w:t>, financieras</w:t>
      </w:r>
      <w:r w:rsidR="006263D5" w:rsidRPr="006263D5">
        <w:rPr>
          <w:rFonts w:ascii="Times New Roman" w:eastAsia="Times New Roman" w:hAnsi="Times New Roman"/>
          <w:sz w:val="24"/>
          <w:szCs w:val="24"/>
          <w:lang w:eastAsia="es-EC"/>
        </w:rPr>
        <w:t xml:space="preserve"> y contables </w:t>
      </w:r>
      <w:r w:rsidR="00AD793F">
        <w:rPr>
          <w:rFonts w:ascii="Times New Roman" w:eastAsia="Times New Roman" w:hAnsi="Times New Roman"/>
          <w:sz w:val="24"/>
          <w:szCs w:val="24"/>
          <w:lang w:eastAsia="es-EC"/>
        </w:rPr>
        <w:t>que correspondan.</w:t>
      </w:r>
    </w:p>
    <w:p w14:paraId="5491409E" w14:textId="77777777" w:rsidR="0003558A" w:rsidRDefault="006263D5" w:rsidP="00EE65CB">
      <w:pPr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AD793F">
        <w:rPr>
          <w:rFonts w:ascii="Times New Roman" w:eastAsia="Times New Roman" w:hAnsi="Times New Roman"/>
          <w:b/>
          <w:bCs/>
          <w:iCs/>
          <w:sz w:val="24"/>
          <w:szCs w:val="24"/>
          <w:lang w:eastAsia="es-EC"/>
        </w:rPr>
        <w:t xml:space="preserve">DISPOSICIÓN </w:t>
      </w:r>
      <w:r w:rsidR="00AD793F">
        <w:rPr>
          <w:rFonts w:ascii="Times New Roman" w:eastAsia="Times New Roman" w:hAnsi="Times New Roman"/>
          <w:b/>
          <w:bCs/>
          <w:iCs/>
          <w:sz w:val="24"/>
          <w:szCs w:val="24"/>
          <w:lang w:eastAsia="es-EC"/>
        </w:rPr>
        <w:t>GENERAL</w:t>
      </w:r>
      <w:r w:rsidRPr="006263D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C"/>
        </w:rPr>
        <w:t xml:space="preserve">: 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De la ejecución de la presente Resolución, encárguese a la Dirección Administrativa, Dirección Financiera, Dirección de Asesoría Jurídica, y demás áreas responsables, en el ámbito de su competencia.</w:t>
      </w:r>
    </w:p>
    <w:p w14:paraId="6368E1E9" w14:textId="77777777" w:rsidR="00AD793F" w:rsidRPr="00AD793F" w:rsidRDefault="00AD793F" w:rsidP="00EE65CB">
      <w:pPr>
        <w:jc w:val="both"/>
        <w:rPr>
          <w:rFonts w:ascii="Times New Roman" w:eastAsia="Times New Roman" w:hAnsi="Times New Roman"/>
          <w:sz w:val="24"/>
          <w:szCs w:val="24"/>
          <w:lang w:eastAsia="es-EC"/>
        </w:rPr>
      </w:pPr>
      <w:r w:rsidRPr="00AD793F">
        <w:rPr>
          <w:rFonts w:ascii="Times New Roman" w:eastAsia="Times New Roman" w:hAnsi="Times New Roman"/>
          <w:b/>
          <w:sz w:val="24"/>
          <w:szCs w:val="24"/>
          <w:lang w:eastAsia="es-EC"/>
        </w:rPr>
        <w:t>DISPOSICIÓN FINAL:</w:t>
      </w:r>
      <w:r>
        <w:rPr>
          <w:rFonts w:ascii="Times New Roman" w:eastAsia="Times New Roman" w:hAnsi="Times New Roman"/>
          <w:b/>
          <w:sz w:val="24"/>
          <w:szCs w:val="24"/>
          <w:lang w:eastAsia="es-EC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s-EC"/>
        </w:rPr>
        <w:t>La presente Resolución entrará en vigencia a partir de su expedición.</w:t>
      </w:r>
    </w:p>
    <w:p w14:paraId="49AF92CB" w14:textId="1AC89B6D" w:rsidR="00D1012B" w:rsidRPr="006263D5" w:rsidRDefault="006263D5" w:rsidP="00EE65CB">
      <w:pPr>
        <w:jc w:val="both"/>
      </w:pP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  <w:t xml:space="preserve">Dado y firmado en la ciudad de Quito D.M, a los </w:t>
      </w:r>
      <w:proofErr w:type="spellStart"/>
      <w:r w:rsidR="001C31F1" w:rsidRPr="00180CF4">
        <w:rPr>
          <w:rFonts w:ascii="Times New Roman" w:eastAsia="Times New Roman" w:hAnsi="Times New Roman"/>
          <w:sz w:val="24"/>
          <w:szCs w:val="24"/>
          <w:highlight w:val="yellow"/>
          <w:lang w:eastAsia="es-EC"/>
        </w:rPr>
        <w:t>xx</w:t>
      </w:r>
      <w:proofErr w:type="spellEnd"/>
      <w:r w:rsidR="006A1F4E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="0055701C">
        <w:rPr>
          <w:rFonts w:ascii="Times New Roman" w:eastAsia="Times New Roman" w:hAnsi="Times New Roman"/>
          <w:sz w:val="24"/>
          <w:szCs w:val="24"/>
          <w:lang w:eastAsia="es-EC"/>
        </w:rPr>
        <w:t xml:space="preserve">días del mes de </w:t>
      </w:r>
      <w:proofErr w:type="spellStart"/>
      <w:r w:rsidR="001C31F1" w:rsidRPr="00180CF4">
        <w:rPr>
          <w:rFonts w:ascii="Times New Roman" w:eastAsia="Times New Roman" w:hAnsi="Times New Roman"/>
          <w:sz w:val="24"/>
          <w:szCs w:val="24"/>
          <w:highlight w:val="yellow"/>
          <w:lang w:eastAsia="es-EC"/>
        </w:rPr>
        <w:t>xx</w:t>
      </w:r>
      <w:proofErr w:type="spellEnd"/>
      <w:r w:rsidR="00151217">
        <w:rPr>
          <w:rFonts w:ascii="Times New Roman" w:eastAsia="Times New Roman" w:hAnsi="Times New Roman"/>
          <w:sz w:val="24"/>
          <w:szCs w:val="24"/>
          <w:lang w:eastAsia="es-EC"/>
        </w:rPr>
        <w:t xml:space="preserve"> </w:t>
      </w:r>
      <w:r w:rsidR="0055701C">
        <w:rPr>
          <w:rFonts w:ascii="Times New Roman" w:eastAsia="Times New Roman" w:hAnsi="Times New Roman"/>
          <w:sz w:val="24"/>
          <w:szCs w:val="24"/>
          <w:lang w:eastAsia="es-EC"/>
        </w:rPr>
        <w:t>de 20</w:t>
      </w:r>
      <w:r w:rsidR="001C31F1">
        <w:rPr>
          <w:rFonts w:ascii="Times New Roman" w:eastAsia="Times New Roman" w:hAnsi="Times New Roman"/>
          <w:sz w:val="24"/>
          <w:szCs w:val="24"/>
          <w:lang w:eastAsia="es-EC"/>
        </w:rPr>
        <w:t>xx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t>.</w:t>
      </w:r>
      <w:r w:rsidRPr="006263D5">
        <w:rPr>
          <w:rFonts w:ascii="Times New Roman" w:eastAsia="Times New Roman" w:hAnsi="Times New Roman"/>
          <w:sz w:val="24"/>
          <w:szCs w:val="24"/>
          <w:lang w:eastAsia="es-EC"/>
        </w:rPr>
        <w:br/>
      </w:r>
    </w:p>
    <w:sectPr w:rsidR="00D1012B" w:rsidRPr="006263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1A54" w14:textId="77777777" w:rsidR="00D914D3" w:rsidRDefault="00D914D3" w:rsidP="002E791F">
      <w:pPr>
        <w:spacing w:after="0" w:line="240" w:lineRule="auto"/>
      </w:pPr>
      <w:r>
        <w:separator/>
      </w:r>
    </w:p>
  </w:endnote>
  <w:endnote w:type="continuationSeparator" w:id="0">
    <w:p w14:paraId="403571B5" w14:textId="77777777" w:rsidR="00D914D3" w:rsidRDefault="00D914D3" w:rsidP="002E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F782" w14:textId="77777777" w:rsidR="00D914D3" w:rsidRDefault="00D914D3" w:rsidP="002E791F">
      <w:pPr>
        <w:spacing w:after="0" w:line="240" w:lineRule="auto"/>
      </w:pPr>
      <w:r>
        <w:separator/>
      </w:r>
    </w:p>
  </w:footnote>
  <w:footnote w:type="continuationSeparator" w:id="0">
    <w:p w14:paraId="4302BCCB" w14:textId="77777777" w:rsidR="00D914D3" w:rsidRDefault="00D914D3" w:rsidP="002E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BC9C" w14:textId="7AA67B6B" w:rsidR="00472C15" w:rsidRDefault="002E791F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1212E73" wp14:editId="6EDB53F4">
          <wp:simplePos x="0" y="0"/>
          <wp:positionH relativeFrom="page">
            <wp:posOffset>-66675</wp:posOffset>
          </wp:positionH>
          <wp:positionV relativeFrom="paragraph">
            <wp:posOffset>855345</wp:posOffset>
          </wp:positionV>
          <wp:extent cx="7587615" cy="9363075"/>
          <wp:effectExtent l="0" t="0" r="0" b="9525"/>
          <wp:wrapNone/>
          <wp:docPr id="108168082" name="Imagen 108168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605329" name="Imagen 1818605329"/>
                  <pic:cNvPicPr/>
                </pic:nvPicPr>
                <pic:blipFill rotWithShape="1">
                  <a:blip r:embed="rId1"/>
                  <a:srcRect t="9947" b="2745"/>
                  <a:stretch/>
                </pic:blipFill>
                <pic:spPr bwMode="auto">
                  <a:xfrm>
                    <a:off x="0" y="0"/>
                    <a:ext cx="7587615" cy="936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BB7"/>
    <w:multiLevelType w:val="hybridMultilevel"/>
    <w:tmpl w:val="872C2E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130E2"/>
    <w:multiLevelType w:val="hybridMultilevel"/>
    <w:tmpl w:val="34ECB1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6622">
    <w:abstractNumId w:val="0"/>
  </w:num>
  <w:num w:numId="2" w16cid:durableId="81810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BD"/>
    <w:rsid w:val="0001372B"/>
    <w:rsid w:val="000214B8"/>
    <w:rsid w:val="00021D98"/>
    <w:rsid w:val="0003558A"/>
    <w:rsid w:val="00043602"/>
    <w:rsid w:val="00087569"/>
    <w:rsid w:val="0009270D"/>
    <w:rsid w:val="00096FA7"/>
    <w:rsid w:val="000A3F71"/>
    <w:rsid w:val="000C053D"/>
    <w:rsid w:val="000C23D0"/>
    <w:rsid w:val="000D3E14"/>
    <w:rsid w:val="000D4140"/>
    <w:rsid w:val="000D5E7B"/>
    <w:rsid w:val="00135486"/>
    <w:rsid w:val="00143374"/>
    <w:rsid w:val="001458E5"/>
    <w:rsid w:val="00145F6B"/>
    <w:rsid w:val="00151217"/>
    <w:rsid w:val="00176CB4"/>
    <w:rsid w:val="00180CF4"/>
    <w:rsid w:val="001B2D54"/>
    <w:rsid w:val="001B2D79"/>
    <w:rsid w:val="001B48D6"/>
    <w:rsid w:val="001B771E"/>
    <w:rsid w:val="001C31F1"/>
    <w:rsid w:val="001D7AB0"/>
    <w:rsid w:val="001E57BC"/>
    <w:rsid w:val="00221DAE"/>
    <w:rsid w:val="0023042A"/>
    <w:rsid w:val="0024646D"/>
    <w:rsid w:val="00290D66"/>
    <w:rsid w:val="00297B4A"/>
    <w:rsid w:val="002A105C"/>
    <w:rsid w:val="002B1F82"/>
    <w:rsid w:val="002C1275"/>
    <w:rsid w:val="002D5092"/>
    <w:rsid w:val="002D6B62"/>
    <w:rsid w:val="002E791F"/>
    <w:rsid w:val="002E7C9B"/>
    <w:rsid w:val="002F28CC"/>
    <w:rsid w:val="00301D94"/>
    <w:rsid w:val="00321171"/>
    <w:rsid w:val="00367E2E"/>
    <w:rsid w:val="00371BE2"/>
    <w:rsid w:val="0038086A"/>
    <w:rsid w:val="00387BFE"/>
    <w:rsid w:val="00394C7C"/>
    <w:rsid w:val="00397BFD"/>
    <w:rsid w:val="003A04A5"/>
    <w:rsid w:val="003A0A48"/>
    <w:rsid w:val="003A5DE1"/>
    <w:rsid w:val="00420488"/>
    <w:rsid w:val="00426CCB"/>
    <w:rsid w:val="004276FF"/>
    <w:rsid w:val="00445BC3"/>
    <w:rsid w:val="004501E6"/>
    <w:rsid w:val="00450CE1"/>
    <w:rsid w:val="004711B0"/>
    <w:rsid w:val="00471E20"/>
    <w:rsid w:val="00472C15"/>
    <w:rsid w:val="004777C5"/>
    <w:rsid w:val="00481582"/>
    <w:rsid w:val="00487441"/>
    <w:rsid w:val="0049483B"/>
    <w:rsid w:val="004A3B27"/>
    <w:rsid w:val="004B6219"/>
    <w:rsid w:val="004C553A"/>
    <w:rsid w:val="004E040C"/>
    <w:rsid w:val="004F694D"/>
    <w:rsid w:val="005228ED"/>
    <w:rsid w:val="005311C7"/>
    <w:rsid w:val="00533625"/>
    <w:rsid w:val="00543167"/>
    <w:rsid w:val="00547965"/>
    <w:rsid w:val="0055701C"/>
    <w:rsid w:val="00585222"/>
    <w:rsid w:val="00587920"/>
    <w:rsid w:val="00593781"/>
    <w:rsid w:val="005A2994"/>
    <w:rsid w:val="005C18DB"/>
    <w:rsid w:val="005D155D"/>
    <w:rsid w:val="005E24B0"/>
    <w:rsid w:val="005E3E3E"/>
    <w:rsid w:val="005F293E"/>
    <w:rsid w:val="006007F8"/>
    <w:rsid w:val="00604156"/>
    <w:rsid w:val="006077F9"/>
    <w:rsid w:val="00615BB0"/>
    <w:rsid w:val="00621416"/>
    <w:rsid w:val="006263D5"/>
    <w:rsid w:val="00633519"/>
    <w:rsid w:val="0063715E"/>
    <w:rsid w:val="006614D3"/>
    <w:rsid w:val="00664539"/>
    <w:rsid w:val="00677C9A"/>
    <w:rsid w:val="00695DAC"/>
    <w:rsid w:val="006A1F4E"/>
    <w:rsid w:val="006A4B83"/>
    <w:rsid w:val="006A6312"/>
    <w:rsid w:val="006C77C5"/>
    <w:rsid w:val="006D0DB5"/>
    <w:rsid w:val="006D1C06"/>
    <w:rsid w:val="006D1FCE"/>
    <w:rsid w:val="006D29BA"/>
    <w:rsid w:val="006E1C9E"/>
    <w:rsid w:val="006E3AF1"/>
    <w:rsid w:val="007169F0"/>
    <w:rsid w:val="00724CE0"/>
    <w:rsid w:val="00736A85"/>
    <w:rsid w:val="0074245D"/>
    <w:rsid w:val="0074320B"/>
    <w:rsid w:val="007450E3"/>
    <w:rsid w:val="007562CF"/>
    <w:rsid w:val="007611F8"/>
    <w:rsid w:val="007732D9"/>
    <w:rsid w:val="007747CC"/>
    <w:rsid w:val="00795F1A"/>
    <w:rsid w:val="007A7A42"/>
    <w:rsid w:val="007B2DB8"/>
    <w:rsid w:val="007B33A6"/>
    <w:rsid w:val="007B4A45"/>
    <w:rsid w:val="007E1433"/>
    <w:rsid w:val="007F60A8"/>
    <w:rsid w:val="007F6558"/>
    <w:rsid w:val="007F6AE4"/>
    <w:rsid w:val="00800AC3"/>
    <w:rsid w:val="008354F0"/>
    <w:rsid w:val="0085431B"/>
    <w:rsid w:val="0087781C"/>
    <w:rsid w:val="00880E37"/>
    <w:rsid w:val="00882636"/>
    <w:rsid w:val="00883AF4"/>
    <w:rsid w:val="008840FB"/>
    <w:rsid w:val="008A535B"/>
    <w:rsid w:val="008B7599"/>
    <w:rsid w:val="008F2FA7"/>
    <w:rsid w:val="00920A75"/>
    <w:rsid w:val="00930FF1"/>
    <w:rsid w:val="00961211"/>
    <w:rsid w:val="009668B1"/>
    <w:rsid w:val="00966A8F"/>
    <w:rsid w:val="00985E43"/>
    <w:rsid w:val="0099785F"/>
    <w:rsid w:val="009A21A7"/>
    <w:rsid w:val="009A357F"/>
    <w:rsid w:val="009A4B23"/>
    <w:rsid w:val="009B1BED"/>
    <w:rsid w:val="009C1504"/>
    <w:rsid w:val="009D1C8E"/>
    <w:rsid w:val="009F27E6"/>
    <w:rsid w:val="00A27BC1"/>
    <w:rsid w:val="00A4389C"/>
    <w:rsid w:val="00A72B6B"/>
    <w:rsid w:val="00A81425"/>
    <w:rsid w:val="00A92E3A"/>
    <w:rsid w:val="00AC2219"/>
    <w:rsid w:val="00AC58DB"/>
    <w:rsid w:val="00AD793F"/>
    <w:rsid w:val="00B311D5"/>
    <w:rsid w:val="00B35102"/>
    <w:rsid w:val="00B36D14"/>
    <w:rsid w:val="00B41BE5"/>
    <w:rsid w:val="00B63127"/>
    <w:rsid w:val="00B67408"/>
    <w:rsid w:val="00B71053"/>
    <w:rsid w:val="00B724BD"/>
    <w:rsid w:val="00B75D33"/>
    <w:rsid w:val="00B846BC"/>
    <w:rsid w:val="00BB00F0"/>
    <w:rsid w:val="00BB517B"/>
    <w:rsid w:val="00BC6B1E"/>
    <w:rsid w:val="00BF2A6B"/>
    <w:rsid w:val="00C021B6"/>
    <w:rsid w:val="00C1176B"/>
    <w:rsid w:val="00C219E3"/>
    <w:rsid w:val="00C22C0B"/>
    <w:rsid w:val="00C23165"/>
    <w:rsid w:val="00C31BFD"/>
    <w:rsid w:val="00C354AF"/>
    <w:rsid w:val="00C50C61"/>
    <w:rsid w:val="00C55327"/>
    <w:rsid w:val="00C55360"/>
    <w:rsid w:val="00C622D0"/>
    <w:rsid w:val="00CC1AB8"/>
    <w:rsid w:val="00CC7679"/>
    <w:rsid w:val="00CE30BD"/>
    <w:rsid w:val="00CF083C"/>
    <w:rsid w:val="00D06263"/>
    <w:rsid w:val="00D0746E"/>
    <w:rsid w:val="00D1012B"/>
    <w:rsid w:val="00D17861"/>
    <w:rsid w:val="00D22205"/>
    <w:rsid w:val="00D46D57"/>
    <w:rsid w:val="00D541AC"/>
    <w:rsid w:val="00D70B69"/>
    <w:rsid w:val="00D73A4C"/>
    <w:rsid w:val="00D914D3"/>
    <w:rsid w:val="00D92CFB"/>
    <w:rsid w:val="00DB1B12"/>
    <w:rsid w:val="00DB430B"/>
    <w:rsid w:val="00DD3C6B"/>
    <w:rsid w:val="00DE727B"/>
    <w:rsid w:val="00E018A6"/>
    <w:rsid w:val="00E03422"/>
    <w:rsid w:val="00E05595"/>
    <w:rsid w:val="00E5365B"/>
    <w:rsid w:val="00E676B2"/>
    <w:rsid w:val="00E70B5B"/>
    <w:rsid w:val="00E7107F"/>
    <w:rsid w:val="00E90BDF"/>
    <w:rsid w:val="00EC2713"/>
    <w:rsid w:val="00EC4513"/>
    <w:rsid w:val="00EC577D"/>
    <w:rsid w:val="00EC7379"/>
    <w:rsid w:val="00EE65CB"/>
    <w:rsid w:val="00EF158C"/>
    <w:rsid w:val="00F00A93"/>
    <w:rsid w:val="00F307F9"/>
    <w:rsid w:val="00F31503"/>
    <w:rsid w:val="00F37CA9"/>
    <w:rsid w:val="00F44BDE"/>
    <w:rsid w:val="00F56DAA"/>
    <w:rsid w:val="00F57803"/>
    <w:rsid w:val="00F8204C"/>
    <w:rsid w:val="00FA1C52"/>
    <w:rsid w:val="00FA3E52"/>
    <w:rsid w:val="00FB1C02"/>
    <w:rsid w:val="00FB372B"/>
    <w:rsid w:val="00FC65FA"/>
    <w:rsid w:val="00FF1B76"/>
    <w:rsid w:val="00FF22AA"/>
    <w:rsid w:val="00FF3DAE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74FFA"/>
  <w15:chartTrackingRefBased/>
  <w15:docId w15:val="{030A59AA-887B-40D5-98A8-49B564E1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7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B1B12"/>
    <w:rPr>
      <w:rFonts w:ascii="Segoe UI" w:hAnsi="Segoe UI" w:cs="Segoe UI"/>
      <w:sz w:val="18"/>
      <w:szCs w:val="18"/>
      <w:lang w:eastAsia="en-US"/>
    </w:rPr>
  </w:style>
  <w:style w:type="character" w:styleId="Textoennegrita">
    <w:name w:val="Strong"/>
    <w:uiPriority w:val="22"/>
    <w:qFormat/>
    <w:rsid w:val="006263D5"/>
    <w:rPr>
      <w:b/>
      <w:bCs/>
    </w:rPr>
  </w:style>
  <w:style w:type="character" w:styleId="nfasis">
    <w:name w:val="Emphasis"/>
    <w:uiPriority w:val="20"/>
    <w:qFormat/>
    <w:rsid w:val="006263D5"/>
    <w:rPr>
      <w:i/>
      <w:iCs/>
    </w:rPr>
  </w:style>
  <w:style w:type="character" w:customStyle="1" w:styleId="markedcontent">
    <w:name w:val="markedcontent"/>
    <w:basedOn w:val="Fuentedeprrafopredeter"/>
    <w:rsid w:val="00920A75"/>
  </w:style>
  <w:style w:type="paragraph" w:customStyle="1" w:styleId="Default">
    <w:name w:val="Default"/>
    <w:rsid w:val="007A7A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7A42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1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91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C7A4-68A6-4C05-A2A4-011B3628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2454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Fabricio Orozco Padilla</dc:creator>
  <cp:keywords/>
  <dc:description/>
  <cp:lastModifiedBy>VICTOR ANDRES CHUMANIA LARRAGA</cp:lastModifiedBy>
  <cp:revision>2</cp:revision>
  <cp:lastPrinted>2023-06-29T16:43:00Z</cp:lastPrinted>
  <dcterms:created xsi:type="dcterms:W3CDTF">2023-07-26T15:35:00Z</dcterms:created>
  <dcterms:modified xsi:type="dcterms:W3CDTF">2023-07-26T15:35:00Z</dcterms:modified>
</cp:coreProperties>
</file>